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E47A5" w14:textId="26E9919E" w:rsidR="00490A27" w:rsidRPr="00E91BE7" w:rsidRDefault="00490A27" w:rsidP="00490A27">
      <w:pPr>
        <w:pStyle w:val="Kop1"/>
        <w:jc w:val="center"/>
        <w:rPr>
          <w:i/>
          <w:iCs/>
          <w:color w:val="A02B93" w:themeColor="accent5"/>
          <w:sz w:val="28"/>
          <w:szCs w:val="28"/>
          <w:lang w:val="en-US"/>
        </w:rPr>
      </w:pPr>
      <w:r w:rsidRPr="00E91BE7">
        <w:rPr>
          <w:i/>
          <w:iCs/>
          <w:color w:val="A02B93" w:themeColor="accent5"/>
          <w:sz w:val="28"/>
          <w:szCs w:val="28"/>
          <w:lang w:val="en-US"/>
        </w:rPr>
        <w:t xml:space="preserve">English version on page </w:t>
      </w:r>
      <w:r w:rsidR="002A316C" w:rsidRPr="00E91BE7">
        <w:rPr>
          <w:i/>
          <w:iCs/>
          <w:color w:val="A02B93" w:themeColor="accent5"/>
          <w:sz w:val="28"/>
          <w:szCs w:val="28"/>
          <w:lang w:val="en-US"/>
        </w:rPr>
        <w:t>6</w:t>
      </w:r>
    </w:p>
    <w:p w14:paraId="4DFE9DC9" w14:textId="654E0B55" w:rsidR="00E56A2B" w:rsidRPr="00E91BE7" w:rsidRDefault="004B484F" w:rsidP="00A67199">
      <w:pPr>
        <w:pStyle w:val="Kop1"/>
        <w:rPr>
          <w:lang w:val="en-US"/>
        </w:rPr>
      </w:pPr>
      <w:r w:rsidRPr="00E91BE7">
        <w:rPr>
          <w:lang w:val="en-US"/>
        </w:rPr>
        <w:t>Takeaways Masterclass Alumni</w:t>
      </w:r>
      <w:r w:rsidR="00BA707A" w:rsidRPr="00E91BE7">
        <w:rPr>
          <w:lang w:val="en-US"/>
        </w:rPr>
        <w:t>.</w:t>
      </w:r>
    </w:p>
    <w:p w14:paraId="5D285989" w14:textId="56394618" w:rsidR="00E56A2B" w:rsidRPr="00E56A2B" w:rsidRDefault="00E56A2B" w:rsidP="00E56A2B">
      <w:r>
        <w:t>Uitzending op 10</w:t>
      </w:r>
      <w:r w:rsidR="00044AC9">
        <w:t xml:space="preserve"> maart</w:t>
      </w:r>
      <w:r>
        <w:t xml:space="preserve"> </w:t>
      </w:r>
      <w:r w:rsidR="00A67199">
        <w:t>2026</w:t>
      </w:r>
    </w:p>
    <w:p w14:paraId="3DCE1DB7" w14:textId="7DF58348" w:rsidR="00A17BFB" w:rsidRPr="00A17BFB" w:rsidRDefault="44278B41" w:rsidP="4158153C">
      <w:pPr>
        <w:spacing w:before="210" w:after="210" w:line="300" w:lineRule="auto"/>
        <w:rPr>
          <w:rFonts w:eastAsiaTheme="minorEastAsia"/>
        </w:rPr>
      </w:pPr>
      <w:r w:rsidRPr="4158153C">
        <w:rPr>
          <w:rFonts w:eastAsiaTheme="minorEastAsia"/>
        </w:rPr>
        <w:t xml:space="preserve">Wat gebeurt er als we alumni niet zien als “klaar”, maar als mensen met wie we een levenslange relatie opbouwen, waarin </w:t>
      </w:r>
      <w:r w:rsidR="7393E6A8" w:rsidRPr="4158153C">
        <w:rPr>
          <w:rFonts w:eastAsiaTheme="minorEastAsia"/>
        </w:rPr>
        <w:t>L</w:t>
      </w:r>
      <w:r w:rsidRPr="4158153C">
        <w:rPr>
          <w:rFonts w:eastAsiaTheme="minorEastAsia"/>
        </w:rPr>
        <w:t xml:space="preserve">even </w:t>
      </w:r>
      <w:r w:rsidR="31F65781" w:rsidRPr="4158153C">
        <w:rPr>
          <w:rFonts w:eastAsiaTheme="minorEastAsia"/>
        </w:rPr>
        <w:t>L</w:t>
      </w:r>
      <w:r w:rsidRPr="4158153C">
        <w:rPr>
          <w:rFonts w:eastAsiaTheme="minorEastAsia"/>
        </w:rPr>
        <w:t xml:space="preserve">ang </w:t>
      </w:r>
      <w:r w:rsidR="0EA76768" w:rsidRPr="4158153C">
        <w:rPr>
          <w:rFonts w:eastAsiaTheme="minorEastAsia"/>
        </w:rPr>
        <w:t>O</w:t>
      </w:r>
      <w:r w:rsidRPr="4158153C">
        <w:rPr>
          <w:rFonts w:eastAsiaTheme="minorEastAsia"/>
        </w:rPr>
        <w:t xml:space="preserve">ntwikkelen vanzelf meebeweegt? In deze masterclass doken we onder de motorkap van alumni- en LLO‑praktijken: hoe bouw je relaties die werken, voor alumni én voor de universiteit? </w:t>
      </w:r>
    </w:p>
    <w:p w14:paraId="02BD3587" w14:textId="3B75B95B" w:rsidR="00CD4A7A" w:rsidRDefault="44278B41" w:rsidP="4158153C">
      <w:pPr>
        <w:spacing w:before="210" w:after="210" w:line="300" w:lineRule="auto"/>
        <w:rPr>
          <w:rFonts w:eastAsiaTheme="minorEastAsia"/>
          <w:color w:val="464FEB"/>
        </w:rPr>
      </w:pPr>
      <w:r w:rsidRPr="4158153C">
        <w:rPr>
          <w:rFonts w:eastAsiaTheme="minorEastAsia"/>
        </w:rPr>
        <w:t xml:space="preserve">In dit document vind je een samenvatting van de belangrijkste thema’s en voorbeelden uit het gesprek. We hopen dat de inzichten helpen om anders, samen en strategischer te denken over hoe universiteiten alumni‑relaties en </w:t>
      </w:r>
      <w:r w:rsidR="52E389B3" w:rsidRPr="4158153C">
        <w:rPr>
          <w:rFonts w:eastAsiaTheme="minorEastAsia"/>
        </w:rPr>
        <w:t>L</w:t>
      </w:r>
      <w:r w:rsidRPr="4158153C">
        <w:rPr>
          <w:rFonts w:eastAsiaTheme="minorEastAsia"/>
        </w:rPr>
        <w:t xml:space="preserve">even </w:t>
      </w:r>
      <w:r w:rsidR="6E2FFA9A" w:rsidRPr="4158153C">
        <w:rPr>
          <w:rFonts w:eastAsiaTheme="minorEastAsia"/>
        </w:rPr>
        <w:t>L</w:t>
      </w:r>
      <w:r w:rsidRPr="4158153C">
        <w:rPr>
          <w:rFonts w:eastAsiaTheme="minorEastAsia"/>
        </w:rPr>
        <w:t xml:space="preserve">ang </w:t>
      </w:r>
      <w:r w:rsidR="61A45598" w:rsidRPr="4158153C">
        <w:rPr>
          <w:rFonts w:eastAsiaTheme="minorEastAsia"/>
        </w:rPr>
        <w:t>O</w:t>
      </w:r>
      <w:r w:rsidRPr="4158153C">
        <w:rPr>
          <w:rFonts w:eastAsiaTheme="minorEastAsia"/>
        </w:rPr>
        <w:t xml:space="preserve">ntwikkelen kunnen verweven. Niet als losstaande sporen, maar als één verhaal, met waarde voor mens en samenleving. </w:t>
      </w:r>
    </w:p>
    <w:p w14:paraId="5FF6FC3D" w14:textId="669D249F" w:rsidR="00CD4A7A" w:rsidRDefault="44278B41" w:rsidP="4158153C">
      <w:pPr>
        <w:spacing w:before="210" w:after="210" w:line="300" w:lineRule="auto"/>
        <w:rPr>
          <w:rFonts w:eastAsiaTheme="minorEastAsia"/>
        </w:rPr>
      </w:pPr>
      <w:r w:rsidRPr="4158153C">
        <w:rPr>
          <w:rFonts w:eastAsiaTheme="minorEastAsia"/>
        </w:rPr>
        <w:t>Sommige take-aways geven herkenning (“we staan er niet alleen voor”), andere zetten aan tot nieuwe keuzes of maken besluitvorming makkelijker. En wie weet: misschien nodigen ze zelfs uit tot nieuwe samenwerkingen.</w:t>
      </w:r>
    </w:p>
    <w:p w14:paraId="7C858B27" w14:textId="73B9D3F1" w:rsidR="00CD4A7A" w:rsidRDefault="46755D50" w:rsidP="4158153C">
      <w:pPr>
        <w:spacing w:after="0" w:line="300" w:lineRule="auto"/>
        <w:rPr>
          <w:rFonts w:eastAsiaTheme="minorEastAsia"/>
        </w:rPr>
      </w:pPr>
      <w:r w:rsidRPr="4158153C">
        <w:rPr>
          <w:rFonts w:eastAsiaTheme="minorEastAsia"/>
        </w:rPr>
        <w:t xml:space="preserve">Luister de </w:t>
      </w:r>
      <w:hyperlink r:id="rId7">
        <w:r w:rsidRPr="4158153C">
          <w:rPr>
            <w:rStyle w:val="Hyperlink"/>
            <w:rFonts w:eastAsiaTheme="minorEastAsia"/>
            <w:b/>
            <w:bCs/>
          </w:rPr>
          <w:t>opname</w:t>
        </w:r>
      </w:hyperlink>
      <w:r w:rsidRPr="4158153C">
        <w:rPr>
          <w:rFonts w:eastAsiaTheme="minorEastAsia"/>
          <w:b/>
          <w:bCs/>
        </w:rPr>
        <w:t xml:space="preserve"> </w:t>
      </w:r>
      <w:r w:rsidRPr="4158153C">
        <w:rPr>
          <w:rFonts w:eastAsiaTheme="minorEastAsia"/>
        </w:rPr>
        <w:t>terug voor het volledige gesprek en alle voorbeelden.</w:t>
      </w:r>
    </w:p>
    <w:p w14:paraId="19FCB620" w14:textId="3612F601" w:rsidR="4158153C" w:rsidRDefault="4158153C" w:rsidP="4158153C">
      <w:pPr>
        <w:spacing w:after="0" w:line="300" w:lineRule="auto"/>
        <w:rPr>
          <w:rFonts w:ascii="Segoe UI" w:eastAsia="Segoe UI" w:hAnsi="Segoe UI" w:cs="Segoe UI"/>
          <w:sz w:val="21"/>
          <w:szCs w:val="21"/>
        </w:rPr>
      </w:pPr>
    </w:p>
    <w:p w14:paraId="030B8370" w14:textId="22B2F568" w:rsidR="00CD4A7A" w:rsidRPr="00CD4A7A" w:rsidRDefault="00044AC9">
      <w:pPr>
        <w:rPr>
          <w:b/>
          <w:bCs/>
        </w:rPr>
      </w:pPr>
      <w:r>
        <w:rPr>
          <w:b/>
          <w:bCs/>
        </w:rPr>
        <w:t>Erkenning en waardering</w:t>
      </w:r>
    </w:p>
    <w:p w14:paraId="457B6F37" w14:textId="6713F0D8" w:rsidR="00CD4A7A" w:rsidRDefault="00CD4A7A">
      <w:r>
        <w:t>Met dank aan al onze panelleden: Bouwien Janssen, Bridget St Clair, Caspar van den Berg, Daraius Irani, Jennifer Cunningham, Nicola Scirocco, Sibilla Becchetti en Tracy Jacobs.</w:t>
      </w:r>
    </w:p>
    <w:p w14:paraId="719B043A" w14:textId="68F66370" w:rsidR="00CD4A7A" w:rsidRDefault="08ED7438">
      <w:r>
        <w:t xml:space="preserve">Dank ook </w:t>
      </w:r>
      <w:r w:rsidR="00CD4A7A">
        <w:t>aan Ellen McKey en Mark Lazar van Open World Solutions voor hun onschatbare steun bij het vinden en verbinden van onze Amerikaanse panelleden.</w:t>
      </w:r>
    </w:p>
    <w:p w14:paraId="5AB4DA28" w14:textId="124EDB67" w:rsidR="00E56A2B" w:rsidRDefault="00CD4A7A">
      <w:r>
        <w:t xml:space="preserve">En </w:t>
      </w:r>
      <w:r w:rsidR="6429B543">
        <w:t xml:space="preserve">we bedanken </w:t>
      </w:r>
      <w:r>
        <w:t>Gwen Spilker, Isabelle Larue en Joelle Doornenbal voor hun steun bij de ontwikkeling en promotie van het evenement.</w:t>
      </w:r>
      <w:r w:rsidR="003E86C8">
        <w:t xml:space="preserve"> En bedankt </w:t>
      </w:r>
      <w:r w:rsidR="00E56A2B">
        <w:t xml:space="preserve">International Insights-team bij </w:t>
      </w:r>
      <w:hyperlink r:id="rId8">
        <w:r w:rsidR="00E56A2B" w:rsidRPr="4158153C">
          <w:rPr>
            <w:rStyle w:val="Hyperlink"/>
          </w:rPr>
          <w:t xml:space="preserve">LLO-Katalysator </w:t>
        </w:r>
      </w:hyperlink>
      <w:r w:rsidR="00E56A2B">
        <w:t>: Emma Groot Rouwen, Jo Chaffer en Ronald Kleijn</w:t>
      </w:r>
      <w:r w:rsidR="79ED7CCB">
        <w:t xml:space="preserve">. </w:t>
      </w:r>
    </w:p>
    <w:p w14:paraId="521C180A" w14:textId="6779E693" w:rsidR="00DF482F" w:rsidRDefault="00FD19E7">
      <w:pPr>
        <w:rPr>
          <w:b/>
          <w:bCs/>
        </w:rPr>
      </w:pPr>
      <w:r w:rsidRPr="4158153C">
        <w:rPr>
          <w:b/>
          <w:bCs/>
        </w:rPr>
        <w:t>Doelstellingen van Masterclass 2</w:t>
      </w:r>
    </w:p>
    <w:p w14:paraId="5154ED1D" w14:textId="5F2445C0" w:rsidR="00E56A2B" w:rsidRDefault="3A786581" w:rsidP="4158153C">
      <w:pPr>
        <w:spacing w:before="210" w:after="210" w:line="300" w:lineRule="auto"/>
        <w:rPr>
          <w:rFonts w:eastAsiaTheme="minorEastAsia"/>
          <w:color w:val="464FEB"/>
        </w:rPr>
      </w:pPr>
      <w:r w:rsidRPr="4158153C">
        <w:rPr>
          <w:rFonts w:eastAsiaTheme="minorEastAsia"/>
        </w:rPr>
        <w:t xml:space="preserve">Deze tweede masterclass in de reeks ging over één centrale vraag: hoe bouwen we relaties die echt werken? Niet alleen zichtbaar aan de buitenkant (op webpagina’s), maar juist in de praktijk: welke inspanning, expertise en infrastructuur zit er achter </w:t>
      </w:r>
      <w:r w:rsidRPr="4158153C">
        <w:rPr>
          <w:rFonts w:eastAsiaTheme="minorEastAsia"/>
        </w:rPr>
        <w:lastRenderedPageBreak/>
        <w:t xml:space="preserve">sterke alumni‑relaties? En hoe kunnen die relaties leiden tot LLO‑diensten die waardevol zijn voor iedereen? </w:t>
      </w:r>
    </w:p>
    <w:p w14:paraId="27EBC247" w14:textId="7858D57D" w:rsidR="00E56A2B" w:rsidRDefault="3A786581" w:rsidP="4158153C">
      <w:r>
        <w:t>Meer achtergrond over het thema en de panelleden vind je in</w:t>
      </w:r>
      <w:r w:rsidR="00E56A2B">
        <w:t xml:space="preserve"> d</w:t>
      </w:r>
      <w:r w:rsidR="782A38C3">
        <w:t xml:space="preserve">e </w:t>
      </w:r>
      <w:hyperlink r:id="rId9">
        <w:r w:rsidR="782A38C3" w:rsidRPr="4158153C">
          <w:rPr>
            <w:rStyle w:val="Hyperlink"/>
          </w:rPr>
          <w:t>Explainer</w:t>
        </w:r>
      </w:hyperlink>
      <w:r w:rsidR="782A38C3">
        <w:t xml:space="preserve">. </w:t>
      </w:r>
    </w:p>
    <w:p w14:paraId="740B5C57" w14:textId="57323712" w:rsidR="00E56A2B" w:rsidRDefault="00FD19E7" w:rsidP="4158153C">
      <w:pPr>
        <w:pStyle w:val="Kop2"/>
        <w:rPr>
          <w:b/>
          <w:bCs/>
        </w:rPr>
      </w:pPr>
      <w:r>
        <w:t xml:space="preserve">Belangrijke thema's </w:t>
      </w:r>
      <w:r w:rsidR="00027659">
        <w:t xml:space="preserve">die naar voren </w:t>
      </w:r>
      <w:r w:rsidR="2F8F767B">
        <w:t>kwamen</w:t>
      </w:r>
    </w:p>
    <w:p w14:paraId="0997BBF4" w14:textId="36457294" w:rsidR="2F8F767B" w:rsidRDefault="2F8F767B" w:rsidP="4158153C">
      <w:pPr>
        <w:spacing w:after="0" w:line="300" w:lineRule="auto"/>
        <w:rPr>
          <w:rFonts w:eastAsiaTheme="minorEastAsia"/>
        </w:rPr>
      </w:pPr>
      <w:r w:rsidRPr="4158153C">
        <w:rPr>
          <w:rFonts w:eastAsiaTheme="minorEastAsia"/>
        </w:rPr>
        <w:t xml:space="preserve">Allereerst viel de diversiteit aan perspectieven op: niet alleen in type universiteit of culturele context, maar ook in de </w:t>
      </w:r>
      <w:r w:rsidRPr="4158153C">
        <w:rPr>
          <w:rFonts w:eastAsiaTheme="minorEastAsia"/>
          <w:b/>
          <w:bCs/>
        </w:rPr>
        <w:t>uiteenlopende loopbanen en achtergronden</w:t>
      </w:r>
      <w:r w:rsidRPr="4158153C">
        <w:rPr>
          <w:rFonts w:eastAsiaTheme="minorEastAsia"/>
        </w:rPr>
        <w:t xml:space="preserve"> van de panelleden, van communicatie en academie tot economie, business development, internationaal onderwijs en engagement‑metingen. Dat laat zien hoe breed (en specialistisch) het vak is van relaties bouwen en onderhouden: relaties die lerenden én leren mogelijk maken, en die de missie van universiteiten ondersteunen.</w:t>
      </w:r>
    </w:p>
    <w:p w14:paraId="1698C7E8" w14:textId="3D68BFC8" w:rsidR="4158153C" w:rsidRDefault="4158153C" w:rsidP="4158153C">
      <w:pPr>
        <w:spacing w:after="0" w:line="300" w:lineRule="auto"/>
        <w:rPr>
          <w:rFonts w:eastAsiaTheme="minorEastAsia"/>
        </w:rPr>
      </w:pPr>
    </w:p>
    <w:p w14:paraId="2E1F88CB" w14:textId="7D4089A1" w:rsidR="00390EDA" w:rsidRPr="00DF47CA" w:rsidRDefault="00390EDA" w:rsidP="4158153C">
      <w:pPr>
        <w:rPr>
          <w:rFonts w:eastAsiaTheme="minorEastAsia"/>
          <w:b/>
          <w:bCs/>
        </w:rPr>
      </w:pPr>
      <w:r w:rsidRPr="4158153C">
        <w:rPr>
          <w:rFonts w:eastAsiaTheme="minorEastAsia"/>
          <w:b/>
          <w:bCs/>
        </w:rPr>
        <w:t>En wat kwam er uit de discussies naar voren?</w:t>
      </w:r>
    </w:p>
    <w:p w14:paraId="7968B7ED" w14:textId="2D363E92" w:rsidR="73EC9893" w:rsidRDefault="73EC9893" w:rsidP="4158153C">
      <w:pPr>
        <w:spacing w:before="210" w:after="210" w:line="300" w:lineRule="auto"/>
        <w:rPr>
          <w:rFonts w:eastAsiaTheme="minorEastAsia"/>
          <w:color w:val="464FEB"/>
        </w:rPr>
      </w:pPr>
      <w:r w:rsidRPr="4158153C">
        <w:rPr>
          <w:rFonts w:eastAsiaTheme="minorEastAsia"/>
        </w:rPr>
        <w:t xml:space="preserve">De vraag of universiteiten alle alumni zien als mensen die blijven leren en ontwikkelen, riep verschillende reacties op. Tegelijk deelden panelleden een belangrijk uitgangspunt: universiteiten zouden een </w:t>
      </w:r>
      <w:r w:rsidRPr="4158153C">
        <w:rPr>
          <w:rFonts w:eastAsiaTheme="minorEastAsia"/>
          <w:b/>
          <w:bCs/>
        </w:rPr>
        <w:t>levenslange relatie</w:t>
      </w:r>
      <w:r w:rsidRPr="4158153C">
        <w:rPr>
          <w:rFonts w:eastAsiaTheme="minorEastAsia"/>
        </w:rPr>
        <w:t xml:space="preserve"> moeten onderhouden met mensen die zich jarenlang intensief hebben verbonden aan bachelor- en masteropleidingen. Leven lang ontwikkelen is inherent aan die relatie, voor zowel de universiteit als de alumni, maar de relatie zelf is het vertrekpunt. </w:t>
      </w:r>
    </w:p>
    <w:p w14:paraId="5CAEF2AE" w14:textId="4E1518B4" w:rsidR="73EC9893" w:rsidRDefault="73EC9893" w:rsidP="4158153C">
      <w:pPr>
        <w:spacing w:before="210" w:after="210" w:line="300" w:lineRule="auto"/>
        <w:rPr>
          <w:rFonts w:eastAsiaTheme="minorEastAsia"/>
          <w:color w:val="464FEB"/>
        </w:rPr>
      </w:pPr>
      <w:r w:rsidRPr="4158153C">
        <w:rPr>
          <w:rFonts w:eastAsiaTheme="minorEastAsia"/>
        </w:rPr>
        <w:t xml:space="preserve">Voor sommige instellingen is dit heel expliciet. Princeton spreekt bijvoorbeeld over ‘lifelong degrees’ (niet ‘4-year degrees’) en is vanaf het begin heel bewust over relationele verwachtingen. Andere panelleden herkennen dit denken, maar merken op dat het nog niet overal stevig is verankerd bij bestuur en leiderschap. En hoewel alumni‑relaties in Amerikaanse strategieën vaak centraal staan, ligt de interesse van leiders en de bijbehorende KPI’s regelmatig vooral bij filantropie. Daarmee blijft er weinig strategische focus op de vele andere uitkomsten en effecten van sterke alumni‑relaties. </w:t>
      </w:r>
      <w:r w:rsidRPr="4158153C">
        <w:rPr>
          <w:rFonts w:eastAsiaTheme="minorEastAsia"/>
          <w:b/>
          <w:bCs/>
        </w:rPr>
        <w:t>Meer strategische focus</w:t>
      </w:r>
      <w:r w:rsidRPr="4158153C">
        <w:rPr>
          <w:rFonts w:eastAsiaTheme="minorEastAsia"/>
        </w:rPr>
        <w:t xml:space="preserve"> en </w:t>
      </w:r>
      <w:r w:rsidRPr="4158153C">
        <w:rPr>
          <w:rFonts w:eastAsiaTheme="minorEastAsia"/>
          <w:b/>
          <w:bCs/>
        </w:rPr>
        <w:t>actiever senior leiderschap</w:t>
      </w:r>
      <w:r w:rsidRPr="4158153C">
        <w:rPr>
          <w:rFonts w:eastAsiaTheme="minorEastAsia"/>
        </w:rPr>
        <w:t xml:space="preserve"> zijn essentieel voor succes. </w:t>
      </w:r>
    </w:p>
    <w:p w14:paraId="6072C5A8" w14:textId="413FA40B" w:rsidR="73EC9893" w:rsidRDefault="73EC9893" w:rsidP="4158153C">
      <w:pPr>
        <w:spacing w:before="210" w:after="210" w:line="300" w:lineRule="auto"/>
        <w:rPr>
          <w:rFonts w:eastAsiaTheme="minorEastAsia"/>
          <w:color w:val="464FEB"/>
        </w:rPr>
      </w:pPr>
      <w:r w:rsidRPr="4158153C">
        <w:rPr>
          <w:rFonts w:eastAsiaTheme="minorEastAsia"/>
        </w:rPr>
        <w:t xml:space="preserve">De omgekeerde vraag, </w:t>
      </w:r>
      <w:r w:rsidRPr="4158153C">
        <w:rPr>
          <w:rFonts w:eastAsiaTheme="minorEastAsia"/>
          <w:b/>
          <w:bCs/>
        </w:rPr>
        <w:t>zijn alle mensen die blijven leren en ontwikkelen ook alumni?</w:t>
      </w:r>
      <w:r w:rsidRPr="4158153C">
        <w:rPr>
          <w:rFonts w:eastAsiaTheme="minorEastAsia"/>
        </w:rPr>
        <w:t xml:space="preserve">, werd meestal met ‘nee’ beantwoord. Voor Princeton, (Lehigh) en Cornell is dat een bewuste keuze, om de waardepropositie van het alumninetwerk niet te verwateren. In Nederland is dit minder uitgekristalliseerd en soms controversieel. Maar als je de relatie centraal stelt (in plaats van het label), is dit misschien niet de meest helpende vraag. Een betere vraag is: zien universiteiten en (oud‑)lerenden zichzelf als mensen die met elkaar </w:t>
      </w:r>
      <w:r w:rsidRPr="4158153C">
        <w:rPr>
          <w:rFonts w:eastAsiaTheme="minorEastAsia"/>
          <w:b/>
          <w:bCs/>
        </w:rPr>
        <w:t>in relatie</w:t>
      </w:r>
      <w:r w:rsidRPr="4158153C">
        <w:rPr>
          <w:rFonts w:eastAsiaTheme="minorEastAsia"/>
        </w:rPr>
        <w:t xml:space="preserve"> willen staan, of willen ze dat worden? Als het antwoord ja is, zijn er vele manieren om die relatie vorm te geven. </w:t>
      </w:r>
    </w:p>
    <w:p w14:paraId="1AD18E57" w14:textId="0510DCB1" w:rsidR="73EC9893" w:rsidRDefault="73EC9893" w:rsidP="4158153C">
      <w:pPr>
        <w:spacing w:before="210" w:after="210" w:line="300" w:lineRule="auto"/>
        <w:rPr>
          <w:rFonts w:eastAsiaTheme="minorEastAsia"/>
        </w:rPr>
      </w:pPr>
      <w:r w:rsidRPr="4158153C">
        <w:rPr>
          <w:rFonts w:eastAsiaTheme="minorEastAsia"/>
        </w:rPr>
        <w:lastRenderedPageBreak/>
        <w:t>Ook zijn er verschillende manieren om de waarde van relaties te erkennen via labels. Princeton kent een hele reeks affiliaties waarmee mensen zich kunnen verbinden aan de universiteit. Towson werkt met ‘friends’ en richt veel activiteiten op ‘friend‑raising’ (in plaats van fundraising): bewustwording, betrokkenheid en verbinding. Zoals TU Delft opmerkte, speelt schaal een grote rol: relatie houden met 4,5 miljoen MOOC‑deelnemers is iets totaal anders dan relatie houden met 100.000+ afgestudeerden en postdoctorale studenten.</w:t>
      </w:r>
    </w:p>
    <w:p w14:paraId="2FE6573F" w14:textId="3057706E" w:rsidR="4158153C" w:rsidRDefault="4158153C"/>
    <w:p w14:paraId="03244A61" w14:textId="056226E1" w:rsidR="003B579A" w:rsidRDefault="003B579A">
      <w:pPr>
        <w:rPr>
          <w:b/>
          <w:bCs/>
        </w:rPr>
      </w:pPr>
      <w:r w:rsidRPr="003B579A">
        <w:rPr>
          <w:b/>
          <w:bCs/>
        </w:rPr>
        <w:t>Nieuwe labels, nieuwe rollen in relaties</w:t>
      </w:r>
    </w:p>
    <w:p w14:paraId="0E721559" w14:textId="635B7E9E" w:rsidR="003B579A" w:rsidRDefault="003B579A" w:rsidP="003B579A">
      <w:r>
        <w:t xml:space="preserve">Labels </w:t>
      </w:r>
      <w:r w:rsidRPr="00A226EF">
        <w:t xml:space="preserve">zijn erg handig als snel referentiepunt voor wie we zijn in de wereld en ten opzichte van elkaar, maar we kunnen er ook in vast komen te zitten. De discussies tijdens de masterclass lieten zien hoe </w:t>
      </w:r>
      <w:r w:rsidRPr="00A226EF">
        <w:rPr>
          <w:b/>
          <w:bCs/>
        </w:rPr>
        <w:t xml:space="preserve">flexibiliteit met labels </w:t>
      </w:r>
      <w:r>
        <w:t>echt een verandering teweeg kan brengen in denkwijzen en gedrag. Bijvoorbeeld:</w:t>
      </w:r>
    </w:p>
    <w:p w14:paraId="7122015C" w14:textId="600078FC" w:rsidR="003B579A" w:rsidRDefault="003B579A" w:rsidP="003B579A">
      <w:pPr>
        <w:pStyle w:val="Lijstalinea"/>
        <w:numPr>
          <w:ilvl w:val="0"/>
          <w:numId w:val="5"/>
        </w:numPr>
      </w:pPr>
      <w:r>
        <w:t>Van leerling of student naar professional (waarbij onze verwachtingen van gezag en van wat de ander te bieden heeft fundamenteel veranderen).</w:t>
      </w:r>
    </w:p>
    <w:p w14:paraId="475EC1A5" w14:textId="0864ECCF" w:rsidR="00C73923" w:rsidRDefault="00C73923" w:rsidP="00C73923">
      <w:pPr>
        <w:pStyle w:val="Lijstalinea"/>
        <w:numPr>
          <w:ilvl w:val="0"/>
          <w:numId w:val="5"/>
        </w:numPr>
      </w:pPr>
      <w:r>
        <w:t>Van levenslang leren naar levenslange ontwikkeling – een gangbare term in Nederland, maar minder gangbaar in het Engels. Deze omschakeling verschuift de verwachting naar een meer volwassen en impactvol proces.</w:t>
      </w:r>
    </w:p>
    <w:p w14:paraId="6194C388" w14:textId="61588E66" w:rsidR="00A226EF" w:rsidRDefault="00A226EF" w:rsidP="00A226EF">
      <w:r>
        <w:t xml:space="preserve">De discussies over de taken van alumni-bureaus brachten de vele </w:t>
      </w:r>
      <w:r w:rsidRPr="00A226EF">
        <w:rPr>
          <w:b/>
          <w:bCs/>
        </w:rPr>
        <w:t xml:space="preserve">verschillende rollen aan het licht die universiteiten vervullen </w:t>
      </w:r>
      <w:r w:rsidR="00C73923">
        <w:t>in hun relatie met alumni. Deze rollen omvatten onder andere die van universiteit:</w:t>
      </w:r>
    </w:p>
    <w:p w14:paraId="689C6786" w14:textId="1D5BB85F" w:rsidR="00C73923" w:rsidRDefault="00C73923" w:rsidP="00A226EF">
      <w:pPr>
        <w:pStyle w:val="Lijstalinea"/>
        <w:numPr>
          <w:ilvl w:val="0"/>
          <w:numId w:val="6"/>
        </w:numPr>
      </w:pPr>
      <w:r>
        <w:t>Leerling – wanneer de universiteit niet over de specialistische kennis of expertise beschikt, maar alumni, bijvoorbeeld professionals in het bedrijfsleven, dat wel doen. Verschillende universiteiten vragen alumni om les te geven, lezingen te verzorgen of programma's te ontwikkelen.</w:t>
      </w:r>
    </w:p>
    <w:p w14:paraId="323C5E00" w14:textId="52CAF741" w:rsidR="0031346B" w:rsidRDefault="0031346B" w:rsidP="00C73923">
      <w:pPr>
        <w:pStyle w:val="Lijstalinea"/>
        <w:numPr>
          <w:ilvl w:val="0"/>
          <w:numId w:val="6"/>
        </w:numPr>
      </w:pPr>
      <w:r>
        <w:t>Facilitator – het samenbrengen van alumninetwerken, het ondersteunen van de oprichting en het beheer ervan; het leggen van contacten met andere onderwijsinstellingen die beschikken over de specialistische kennis die alumni nodig hebben voor professionele groei;</w:t>
      </w:r>
    </w:p>
    <w:p w14:paraId="31D3E82D" w14:textId="13E61D47" w:rsidR="0031346B" w:rsidRDefault="0031346B" w:rsidP="00C73923">
      <w:pPr>
        <w:pStyle w:val="Lijstalinea"/>
        <w:numPr>
          <w:ilvl w:val="0"/>
          <w:numId w:val="6"/>
        </w:numPr>
      </w:pPr>
      <w:r>
        <w:t>Medewerker/coproducent – samen met alumni nieuwe korte cursussen ontwikkelen; werkervaringen aanbieden aan andere cursisten.</w:t>
      </w:r>
    </w:p>
    <w:p w14:paraId="5C543104" w14:textId="37EF5C52" w:rsidR="00D832BB" w:rsidRDefault="005318CC" w:rsidP="005318CC">
      <w:pPr>
        <w:pStyle w:val="Lijstalinea"/>
        <w:numPr>
          <w:ilvl w:val="0"/>
          <w:numId w:val="6"/>
        </w:numPr>
      </w:pPr>
      <w:r>
        <w:t>Advisee – een groep alumni die zitting hebben in adviesraden en bijvoorbeeld richting geven aan faculteiten, afdelingen en zelfs de instelling.</w:t>
      </w:r>
    </w:p>
    <w:p w14:paraId="1974A274" w14:textId="2FE3C9A4" w:rsidR="001D4CA4" w:rsidRDefault="001D4CA4" w:rsidP="005318CC">
      <w:pPr>
        <w:pStyle w:val="Lijstalinea"/>
        <w:numPr>
          <w:ilvl w:val="0"/>
          <w:numId w:val="6"/>
        </w:numPr>
      </w:pPr>
      <w:r>
        <w:t>Organisator van leergemeenschappen: brengt alumni samen rond thematische praktijkontwikkelingsgebieden zoals de duurzaamheidsgroep van Maastricht.</w:t>
      </w:r>
    </w:p>
    <w:p w14:paraId="59D0D104" w14:textId="57DE17EE" w:rsidR="001D4CA4" w:rsidRDefault="001D4CA4" w:rsidP="005318CC">
      <w:pPr>
        <w:pStyle w:val="Lijstalinea"/>
        <w:numPr>
          <w:ilvl w:val="0"/>
          <w:numId w:val="6"/>
        </w:numPr>
      </w:pPr>
      <w:r>
        <w:t>Aanbieders van toolkits en raamwerken - voor alumni om nieuwe ontwikkelingsprogramma's voor andere alumni op te zetten.</w:t>
      </w:r>
    </w:p>
    <w:p w14:paraId="18283D12" w14:textId="5AE9CCE4" w:rsidR="44F818AB" w:rsidRDefault="44F818AB" w:rsidP="4158153C">
      <w:pPr>
        <w:spacing w:before="210" w:after="210" w:line="300" w:lineRule="auto"/>
        <w:rPr>
          <w:rFonts w:eastAsiaTheme="minorEastAsia"/>
          <w:color w:val="464FEB"/>
        </w:rPr>
      </w:pPr>
      <w:r w:rsidRPr="4158153C">
        <w:rPr>
          <w:rFonts w:eastAsiaTheme="minorEastAsia"/>
        </w:rPr>
        <w:lastRenderedPageBreak/>
        <w:t xml:space="preserve">En natuurlijk zijn er ook de meer bekende rollen: onderwijs aanbieden en toegang geven tot nieuwe kennis (onderzoek). Panelleden benoemden dat verschillende generaties alumni andere vormen van relatie zoeken en andere behoeften hebben. Jongere generaties willen vaker carrièregerichte en direct bruikbare ontwikkelproducten, naast community en verbondenheid. </w:t>
      </w:r>
    </w:p>
    <w:p w14:paraId="58C2DDC2" w14:textId="04A6C3C5" w:rsidR="44F818AB" w:rsidRDefault="44F818AB" w:rsidP="4158153C">
      <w:pPr>
        <w:spacing w:before="210" w:after="210" w:line="300" w:lineRule="auto"/>
        <w:rPr>
          <w:rFonts w:eastAsiaTheme="minorEastAsia"/>
          <w:color w:val="464FEB"/>
        </w:rPr>
      </w:pPr>
      <w:r w:rsidRPr="4158153C">
        <w:rPr>
          <w:rFonts w:eastAsiaTheme="minorEastAsia"/>
        </w:rPr>
        <w:t xml:space="preserve">Nicola (TU Delft) gebruikte de metafoor van de universiteit als ‘hunter’ die alumni probeert te vangen en te vullen met kennis. Delft wil juist een ‘gardener’ zijn: een koesterende omgeving creëren waarin mensen kunnen groeien. (En misschien past daar nog een derde metafoor bij: de ‘tangodanser’, soms leidend, soms volgend, altijd in afstemming.) </w:t>
      </w:r>
    </w:p>
    <w:p w14:paraId="488F3897" w14:textId="6E246FF2" w:rsidR="44F818AB" w:rsidRDefault="44F818AB" w:rsidP="4158153C">
      <w:pPr>
        <w:spacing w:before="210" w:after="210" w:line="300" w:lineRule="auto"/>
        <w:rPr>
          <w:rFonts w:eastAsiaTheme="minorEastAsia"/>
          <w:color w:val="464FEB"/>
        </w:rPr>
      </w:pPr>
      <w:r w:rsidRPr="4158153C">
        <w:rPr>
          <w:rFonts w:eastAsiaTheme="minorEastAsia"/>
        </w:rPr>
        <w:t xml:space="preserve">Het vervullen van deze rollen vraagt om </w:t>
      </w:r>
      <w:r w:rsidRPr="4158153C">
        <w:rPr>
          <w:rFonts w:eastAsiaTheme="minorEastAsia"/>
          <w:b/>
          <w:bCs/>
        </w:rPr>
        <w:t>nieuwe vaardigheden,</w:t>
      </w:r>
      <w:r w:rsidRPr="4158153C">
        <w:rPr>
          <w:rFonts w:eastAsiaTheme="minorEastAsia"/>
        </w:rPr>
        <w:t xml:space="preserve"> bij mensen én in de organisatie erachter. Jennifer benadrukte bijvoorbeeld hoeveel werk en vakmanschap er zit in het begeleiden van alumni‑vrijwilligers, of het nu gaat om leden van adviesraden, gastsprekers of andere bijdragen. Alumni moeten zich goed voorbereid voelen, een fijne ervaring hebben en erkenning krijgen. Dat vraagt middelen en expertise. En als we beseffen dat </w:t>
      </w:r>
      <w:r w:rsidRPr="4158153C">
        <w:rPr>
          <w:rFonts w:eastAsiaTheme="minorEastAsia"/>
          <w:b/>
          <w:bCs/>
        </w:rPr>
        <w:t xml:space="preserve">tijd voor veel alumni schaars is, </w:t>
      </w:r>
      <w:r w:rsidRPr="4158153C">
        <w:rPr>
          <w:rFonts w:eastAsiaTheme="minorEastAsia"/>
        </w:rPr>
        <w:t xml:space="preserve">soms schaarser dan geld, dan wordt duidelijk hoe belangrijk relatievakmanschap is. </w:t>
      </w:r>
    </w:p>
    <w:p w14:paraId="26E1F25C" w14:textId="763A2C77" w:rsidR="44F818AB" w:rsidRDefault="44F818AB" w:rsidP="4158153C">
      <w:pPr>
        <w:spacing w:before="210" w:after="210" w:line="300" w:lineRule="auto"/>
        <w:rPr>
          <w:rFonts w:eastAsiaTheme="minorEastAsia"/>
        </w:rPr>
      </w:pPr>
      <w:r w:rsidRPr="4158153C">
        <w:rPr>
          <w:rFonts w:eastAsiaTheme="minorEastAsia"/>
        </w:rPr>
        <w:t>Als we willen dat universitaire medewerkers meer ‘business developers’ zijn en maatschappelijke betrokkenheid versterken, vraagt dat ook om professionele ontwikkeling én om erkenning en beloning voor successen op dit vlak (in plaats van alleen waardering voor onderzoekspublicaties).</w:t>
      </w:r>
    </w:p>
    <w:p w14:paraId="4E3BCD71" w14:textId="1E9DFE8C" w:rsidR="3E3474C5" w:rsidRDefault="3E3474C5" w:rsidP="4158153C">
      <w:pPr>
        <w:spacing w:before="210" w:after="210" w:line="300" w:lineRule="auto"/>
        <w:rPr>
          <w:rFonts w:eastAsiaTheme="minorEastAsia"/>
          <w:color w:val="464FEB"/>
        </w:rPr>
      </w:pPr>
      <w:r w:rsidRPr="4158153C">
        <w:rPr>
          <w:rFonts w:eastAsiaTheme="minorEastAsia"/>
        </w:rPr>
        <w:t xml:space="preserve">De veelheid aan rollen, relaties en uitkomsten vraagt ook om nieuwe manieren om succes te </w:t>
      </w:r>
      <w:r w:rsidRPr="4158153C">
        <w:rPr>
          <w:rFonts w:eastAsiaTheme="minorEastAsia"/>
          <w:b/>
          <w:bCs/>
        </w:rPr>
        <w:t>begrijpen, vast te leggen en te meten</w:t>
      </w:r>
      <w:r w:rsidRPr="4158153C">
        <w:rPr>
          <w:rFonts w:eastAsiaTheme="minorEastAsia"/>
        </w:rPr>
        <w:t xml:space="preserve">. Universiteiten moeten weten wat werkt en waarom; om organisatiebreed te leren, om rendement (ROI) te begrijpen en om gericht te kunnen investeren in meer (en betere) activiteiten. </w:t>
      </w:r>
    </w:p>
    <w:p w14:paraId="483AF43E" w14:textId="2EF3A49C" w:rsidR="3E3474C5" w:rsidRDefault="3E3474C5" w:rsidP="4158153C">
      <w:pPr>
        <w:spacing w:before="210" w:after="210" w:line="300" w:lineRule="auto"/>
        <w:rPr>
          <w:rFonts w:eastAsiaTheme="minorEastAsia"/>
          <w:color w:val="464FEB"/>
        </w:rPr>
      </w:pPr>
      <w:r w:rsidRPr="4158153C">
        <w:rPr>
          <w:rFonts w:eastAsiaTheme="minorEastAsia"/>
        </w:rPr>
        <w:t xml:space="preserve">De rollen van alumni en universiteit leiden tot een breed scala aan </w:t>
      </w:r>
      <w:r w:rsidRPr="4158153C">
        <w:rPr>
          <w:rFonts w:eastAsiaTheme="minorEastAsia"/>
          <w:b/>
          <w:bCs/>
        </w:rPr>
        <w:t>non‑formele en informele</w:t>
      </w:r>
      <w:r w:rsidRPr="4158153C">
        <w:rPr>
          <w:rFonts w:eastAsiaTheme="minorEastAsia"/>
        </w:rPr>
        <w:t xml:space="preserve"> leer‑ en ontwikkelactiviteiten; in de VS vormt dit zelfs een groot deel van wat alumnidiensten ondersteunen. Om te begrijpen wat werkt, is een mix van meetinstrumenten nodig: verschillende manieren om informatie te verzamelen en te gebruiken.</w:t>
      </w:r>
    </w:p>
    <w:p w14:paraId="4E0976A7" w14:textId="2C45C48D" w:rsidR="3E3474C5" w:rsidRDefault="3E3474C5" w:rsidP="4158153C">
      <w:pPr>
        <w:spacing w:before="210" w:after="210" w:line="300" w:lineRule="auto"/>
        <w:rPr>
          <w:rFonts w:eastAsiaTheme="minorEastAsia"/>
          <w:color w:val="464FEB"/>
        </w:rPr>
      </w:pPr>
      <w:r w:rsidRPr="4158153C">
        <w:rPr>
          <w:rFonts w:eastAsiaTheme="minorEastAsia"/>
        </w:rPr>
        <w:t xml:space="preserve">Maastricht ontwikkelt bijvoorbeeld KPI’s die organisatiebreed helpen om LLO‑activiteiten en hun impact zichtbaar te maken. Het Osher Lifelong Learning Institute werkt met een mix van meetvormen met veel aandacht voor leerverhalen. Dit </w:t>
      </w:r>
      <w:r w:rsidRPr="4158153C">
        <w:rPr>
          <w:rFonts w:eastAsiaTheme="minorEastAsia"/>
        </w:rPr>
        <w:lastRenderedPageBreak/>
        <w:t>maakt de rijkdom en impact zichtbaar: voor lerenden en voor de missie en toekomst van de universiteit.</w:t>
      </w:r>
    </w:p>
    <w:p w14:paraId="698F82A3" w14:textId="1BE9A1DC" w:rsidR="3E3474C5" w:rsidRDefault="3E3474C5" w:rsidP="4158153C">
      <w:pPr>
        <w:spacing w:before="210" w:after="210" w:line="300" w:lineRule="auto"/>
        <w:rPr>
          <w:rFonts w:eastAsiaTheme="minorEastAsia"/>
          <w:color w:val="464FEB"/>
        </w:rPr>
      </w:pPr>
      <w:r w:rsidRPr="4158153C">
        <w:rPr>
          <w:rFonts w:eastAsiaTheme="minorEastAsia"/>
        </w:rPr>
        <w:t xml:space="preserve">Towson investeerde in een geavanceerde, organisatiebrede infrastructuur (waaronder een veelgeprezen database) om data te verzamelen, te ordenen en te benutten voor stakeholders. Daraius beschreef dit als “het creëren van een ecosysteem dat zegt: hé, wij zijn Towson, wij werken in de gemeenschap”. Het helpt hun profiel te versterken in de bredere gemeenschap, onder andere richting beleidsmakers, en maakt zichtbaar hoe ze bijdragen aan oplossingen en groei, wat reputatie bouwt, betrokkenheid stimuleert en het </w:t>
      </w:r>
      <w:r w:rsidRPr="4158153C">
        <w:rPr>
          <w:rFonts w:eastAsiaTheme="minorEastAsia"/>
          <w:b/>
          <w:bCs/>
        </w:rPr>
        <w:t>maatschappelijk contract versterkt</w:t>
      </w:r>
      <w:r w:rsidRPr="4158153C">
        <w:rPr>
          <w:rFonts w:eastAsiaTheme="minorEastAsia"/>
        </w:rPr>
        <w:t xml:space="preserve">. </w:t>
      </w:r>
    </w:p>
    <w:p w14:paraId="23184F1E" w14:textId="51C824C5" w:rsidR="3E3474C5" w:rsidRDefault="3E3474C5" w:rsidP="4158153C">
      <w:pPr>
        <w:spacing w:before="210" w:after="210" w:line="300" w:lineRule="auto"/>
        <w:rPr>
          <w:rFonts w:eastAsiaTheme="minorEastAsia"/>
        </w:rPr>
      </w:pPr>
      <w:r w:rsidRPr="4158153C">
        <w:rPr>
          <w:rFonts w:eastAsiaTheme="minorEastAsia"/>
        </w:rPr>
        <w:t xml:space="preserve">We hoorden van Bouwien over beperkingen op het gebruik van publieke middelen voor ontwikkeling en uitvoering van LLO binnen Nederlandse publieke onderwijsinstellingen. Dat roept een interessante vraag op: zouden sterke relaties met Nederlandse alumni middelen kunnen mobiliseren om innovatie in LLO‑aanbod te ondersteunen? Als een vorm van ‘voorfinanciering’ in de innovatie‑/marktrijpheidscyclus: vroeg investeren in ontwerp, in plaats van pas bij volledig ontwikkelde producten. </w:t>
      </w:r>
    </w:p>
    <w:p w14:paraId="615B3F6E" w14:textId="1B95881F" w:rsidR="3E3474C5" w:rsidRDefault="3E3474C5" w:rsidP="4158153C">
      <w:pPr>
        <w:spacing w:before="210" w:after="210" w:line="300" w:lineRule="auto"/>
        <w:rPr>
          <w:rFonts w:eastAsiaTheme="minorEastAsia"/>
          <w:color w:val="464FEB"/>
        </w:rPr>
      </w:pPr>
      <w:r w:rsidRPr="4158153C">
        <w:rPr>
          <w:rFonts w:eastAsiaTheme="minorEastAsia"/>
        </w:rPr>
        <w:t xml:space="preserve">Tot slot de uitnodiging van Sibilla (TU Delft): </w:t>
      </w:r>
      <w:r w:rsidRPr="4158153C">
        <w:rPr>
          <w:rFonts w:eastAsiaTheme="minorEastAsia"/>
          <w:b/>
          <w:bCs/>
        </w:rPr>
        <w:t>zie leven lang ontwikkelen als een proces, niet als een product!</w:t>
      </w:r>
      <w:r w:rsidRPr="4158153C">
        <w:rPr>
          <w:rFonts w:eastAsiaTheme="minorEastAsia"/>
        </w:rPr>
        <w:t xml:space="preserve"> </w:t>
      </w:r>
    </w:p>
    <w:p w14:paraId="14986942" w14:textId="77777777" w:rsidR="00FF3925" w:rsidRPr="00FF3925" w:rsidRDefault="00FF3925" w:rsidP="00812F18">
      <w:pPr>
        <w:rPr>
          <w:b/>
          <w:bCs/>
        </w:rPr>
      </w:pPr>
      <w:r w:rsidRPr="4158153C">
        <w:rPr>
          <w:b/>
          <w:bCs/>
        </w:rPr>
        <w:t>Succes begrijpen</w:t>
      </w:r>
    </w:p>
    <w:p w14:paraId="770D23C2" w14:textId="3DA70234" w:rsidR="00520166" w:rsidRDefault="1EF68D5D" w:rsidP="4158153C">
      <w:pPr>
        <w:spacing w:before="210" w:after="210" w:line="300" w:lineRule="auto"/>
      </w:pPr>
      <w:r w:rsidRPr="4158153C">
        <w:rPr>
          <w:rFonts w:eastAsiaTheme="minorEastAsia"/>
        </w:rPr>
        <w:t>Binnen het International Insights-team gebruiken we een raamwerk met acht onderdelen om te begrijpen wat bijdraagt aan succes in een LLO‑systeem. Alle onderdelen zijn belangrijk, maar uit deze masterclass sprongen er drie extra uit als essentieel voor sterke relaties en betrokkenheid met alumni en andere communities</w:t>
      </w:r>
      <w:r w:rsidR="00520166" w:rsidRPr="4158153C">
        <w:rPr>
          <w:rFonts w:eastAsiaTheme="minorEastAsia"/>
        </w:rPr>
        <w:t>:</w:t>
      </w:r>
      <w:r w:rsidR="00520166">
        <w:t xml:space="preserve"> mindset en drijfveren (onderdeel 1); het centraal stellen van de leerervaring (of het leertraject) van de leerling (of alumnus) (onderdeel 2); en samenwerking en verbondenheid als kerncompetentie en holistische, langetermijnvisie (onderdeel 7).</w:t>
      </w:r>
    </w:p>
    <w:p w14:paraId="26521C49" w14:textId="5433EB8F" w:rsidR="00811E37" w:rsidRDefault="00811E37" w:rsidP="4158153C">
      <w:pPr>
        <w:spacing w:after="0" w:line="300" w:lineRule="auto"/>
      </w:pPr>
      <w:r w:rsidRPr="4158153C">
        <w:rPr>
          <w:b/>
          <w:bCs/>
        </w:rPr>
        <w:t xml:space="preserve">Volgende stappen: </w:t>
      </w:r>
      <w:r w:rsidR="628CDCD0" w:rsidRPr="4158153C">
        <w:rPr>
          <w:rFonts w:eastAsiaTheme="minorEastAsia"/>
        </w:rPr>
        <w:t>Het LLO‑Katalysator-team neemt een aantal belangrijke inzichten en vragen uit deze masterclass mee naar een nationaal forum. We verkennen welke kansen er binnen het Nederlandse tertiaire onderwijs zijn om productieve en duurzame relaties op te bouwen met alumni en met alle lerenden, met het oog op welvarende, duurzame samenlevingen.</w:t>
      </w:r>
      <w:r>
        <w:t xml:space="preserve"> Als je hierin geïnteresseerd bent, neem dan contact op met Jo via </w:t>
      </w:r>
      <w:hyperlink r:id="rId10">
        <w:r w:rsidR="00005893" w:rsidRPr="4158153C">
          <w:rPr>
            <w:rStyle w:val="Hyperlink"/>
          </w:rPr>
          <w:t>jo.chaffer@llokatalysator.nl</w:t>
        </w:r>
      </w:hyperlink>
      <w:r w:rsidR="00005893">
        <w:t xml:space="preserve"> </w:t>
      </w:r>
    </w:p>
    <w:p w14:paraId="29177667" w14:textId="77777777" w:rsidR="00044AC9" w:rsidRDefault="00044AC9" w:rsidP="00812F18"/>
    <w:p w14:paraId="0F5D549F" w14:textId="420FD9C1" w:rsidR="4158153C" w:rsidRPr="00E91BE7" w:rsidRDefault="4158153C" w:rsidP="4158153C">
      <w:pPr>
        <w:pStyle w:val="Kop1"/>
        <w:rPr>
          <w:lang w:val="nl-NL"/>
        </w:rPr>
      </w:pPr>
    </w:p>
    <w:p w14:paraId="069C546E" w14:textId="77777777" w:rsidR="00044AC9" w:rsidRPr="00044AC9" w:rsidRDefault="00044AC9" w:rsidP="00044AC9">
      <w:pPr>
        <w:pStyle w:val="Kop1"/>
        <w:rPr>
          <w:lang w:val="en-GB"/>
        </w:rPr>
      </w:pPr>
      <w:r w:rsidRPr="00044AC9">
        <w:rPr>
          <w:lang w:val="en-GB"/>
        </w:rPr>
        <w:t xml:space="preserve">Take aways – Masterclass 2: Alumni, Lifelong learning and the art of relationships. </w:t>
      </w:r>
    </w:p>
    <w:p w14:paraId="365FC280" w14:textId="77777777" w:rsidR="00044AC9" w:rsidRPr="00044AC9" w:rsidRDefault="00044AC9" w:rsidP="00044AC9">
      <w:pPr>
        <w:rPr>
          <w:lang w:val="en-GB"/>
        </w:rPr>
      </w:pPr>
      <w:r w:rsidRPr="00044AC9">
        <w:rPr>
          <w:lang w:val="en-GB"/>
        </w:rPr>
        <w:t>Broadcast March 10</w:t>
      </w:r>
      <w:r w:rsidRPr="00044AC9">
        <w:rPr>
          <w:vertAlign w:val="superscript"/>
          <w:lang w:val="en-GB"/>
        </w:rPr>
        <w:t>th</w:t>
      </w:r>
      <w:r w:rsidRPr="00044AC9">
        <w:rPr>
          <w:lang w:val="en-GB"/>
        </w:rPr>
        <w:t>, 2026</w:t>
      </w:r>
    </w:p>
    <w:p w14:paraId="12B5675E" w14:textId="77777777" w:rsidR="00044AC9" w:rsidRPr="00044AC9" w:rsidRDefault="00044AC9" w:rsidP="00044AC9">
      <w:pPr>
        <w:rPr>
          <w:lang w:val="en-GB"/>
        </w:rPr>
      </w:pPr>
      <w:r w:rsidRPr="00044AC9">
        <w:rPr>
          <w:lang w:val="en-GB"/>
        </w:rPr>
        <w:t>This is a summary of some of the key themes emerging from the discussions and the key points and examples raised by our panellists. We believe these create useful provocations to think differently, collaboratively and strategically about how and where universities might interweave their alumni and lifelong development services for mutually beneficial outcomes. And more prosperous societies and lives.</w:t>
      </w:r>
    </w:p>
    <w:p w14:paraId="544B43D5" w14:textId="77777777" w:rsidR="00044AC9" w:rsidRPr="00044AC9" w:rsidRDefault="00044AC9" w:rsidP="00044AC9">
      <w:pPr>
        <w:rPr>
          <w:lang w:val="en-GB"/>
        </w:rPr>
      </w:pPr>
      <w:r w:rsidRPr="00044AC9">
        <w:rPr>
          <w:lang w:val="en-GB"/>
        </w:rPr>
        <w:t>Some of the take-aways may re-assure those driving these agendas (we’re not alone!), some may inspire new choices and enable decision-making, some might even inspire collaboration.</w:t>
      </w:r>
    </w:p>
    <w:p w14:paraId="6676358B" w14:textId="5CABAE9E" w:rsidR="00044AC9" w:rsidRPr="00044AC9" w:rsidRDefault="00044AC9" w:rsidP="00044AC9">
      <w:pPr>
        <w:rPr>
          <w:lang w:val="en-GB"/>
        </w:rPr>
      </w:pPr>
      <w:r w:rsidRPr="00044AC9">
        <w:rPr>
          <w:lang w:val="en-GB"/>
        </w:rPr>
        <w:t xml:space="preserve">Please listen to the </w:t>
      </w:r>
      <w:r>
        <w:fldChar w:fldCharType="begin"/>
      </w:r>
      <w:r w:rsidRPr="00E91BE7">
        <w:rPr>
          <w:lang w:val="en-US"/>
        </w:rPr>
        <w:instrText>HYPERLINK "https://youtu.be/C5m1V2P5vV0?si=H-dVuI5dZcBiWDmi"</w:instrText>
      </w:r>
      <w:r>
        <w:fldChar w:fldCharType="separate"/>
      </w:r>
      <w:r w:rsidRPr="005E618D">
        <w:rPr>
          <w:rStyle w:val="Hyperlink"/>
          <w:lang w:val="en-GB"/>
        </w:rPr>
        <w:t>recording</w:t>
      </w:r>
      <w:r>
        <w:fldChar w:fldCharType="end"/>
      </w:r>
      <w:r w:rsidRPr="00044AC9">
        <w:rPr>
          <w:lang w:val="en-GB"/>
        </w:rPr>
        <w:t xml:space="preserve"> for the full discussion and more detail on the summaries provided here.</w:t>
      </w:r>
    </w:p>
    <w:p w14:paraId="5FF0F64D" w14:textId="77777777" w:rsidR="00044AC9" w:rsidRPr="00044AC9" w:rsidRDefault="00044AC9" w:rsidP="00044AC9">
      <w:pPr>
        <w:rPr>
          <w:b/>
          <w:bCs/>
          <w:lang w:val="en-GB"/>
        </w:rPr>
      </w:pPr>
      <w:r w:rsidRPr="00044AC9">
        <w:rPr>
          <w:b/>
          <w:bCs/>
          <w:lang w:val="en-GB"/>
        </w:rPr>
        <w:t>Acknowledgements and gratitude</w:t>
      </w:r>
    </w:p>
    <w:p w14:paraId="3A25DBE3" w14:textId="77777777" w:rsidR="00044AC9" w:rsidRPr="00044AC9" w:rsidRDefault="00044AC9" w:rsidP="00044AC9">
      <w:pPr>
        <w:rPr>
          <w:lang w:val="en-GB"/>
        </w:rPr>
      </w:pPr>
      <w:r w:rsidRPr="00044AC9">
        <w:rPr>
          <w:lang w:val="en-GB"/>
        </w:rPr>
        <w:t xml:space="preserve">Thanks to all our panellists: </w:t>
      </w:r>
      <w:proofErr w:type="spellStart"/>
      <w:r w:rsidRPr="00044AC9">
        <w:rPr>
          <w:lang w:val="en-GB"/>
        </w:rPr>
        <w:t>Bouwien</w:t>
      </w:r>
      <w:proofErr w:type="spellEnd"/>
      <w:r w:rsidRPr="00044AC9">
        <w:rPr>
          <w:lang w:val="en-GB"/>
        </w:rPr>
        <w:t xml:space="preserve"> Janssen, Bridget St Clair, Caspar van den Berg, </w:t>
      </w:r>
      <w:proofErr w:type="spellStart"/>
      <w:r w:rsidRPr="00044AC9">
        <w:rPr>
          <w:lang w:val="en-GB"/>
        </w:rPr>
        <w:t>Daraius</w:t>
      </w:r>
      <w:proofErr w:type="spellEnd"/>
      <w:r w:rsidRPr="00044AC9">
        <w:rPr>
          <w:lang w:val="en-GB"/>
        </w:rPr>
        <w:t xml:space="preserve"> Irani, Jennifer Cunningham, Nicola Scirocco, Sibilla Becchetti, Tracy Jacobs.</w:t>
      </w:r>
    </w:p>
    <w:p w14:paraId="59716D3A" w14:textId="77777777" w:rsidR="00044AC9" w:rsidRPr="00044AC9" w:rsidRDefault="00044AC9" w:rsidP="00044AC9">
      <w:pPr>
        <w:rPr>
          <w:lang w:val="en-GB"/>
        </w:rPr>
      </w:pPr>
      <w:r w:rsidRPr="00044AC9">
        <w:rPr>
          <w:lang w:val="en-GB"/>
        </w:rPr>
        <w:t>Thanks also to Ellen McKey and Mark Lazar of Open World Solutions for their invaluable support in sourcing and connecting our American panellists.</w:t>
      </w:r>
    </w:p>
    <w:p w14:paraId="6F783B22" w14:textId="77777777" w:rsidR="00044AC9" w:rsidRPr="00044AC9" w:rsidRDefault="00044AC9" w:rsidP="00044AC9">
      <w:pPr>
        <w:rPr>
          <w:lang w:val="en-GB"/>
        </w:rPr>
      </w:pPr>
      <w:r w:rsidRPr="00044AC9">
        <w:rPr>
          <w:lang w:val="en-GB"/>
        </w:rPr>
        <w:t xml:space="preserve">And thanks to Gwen Spilker, Isabelle Larue and Joelle </w:t>
      </w:r>
      <w:proofErr w:type="spellStart"/>
      <w:r w:rsidRPr="00044AC9">
        <w:rPr>
          <w:lang w:val="en-GB"/>
        </w:rPr>
        <w:t>Doornenbal</w:t>
      </w:r>
      <w:proofErr w:type="spellEnd"/>
      <w:r w:rsidRPr="00044AC9">
        <w:rPr>
          <w:lang w:val="en-GB"/>
        </w:rPr>
        <w:t xml:space="preserve"> for support in the event development and promotion.</w:t>
      </w:r>
    </w:p>
    <w:p w14:paraId="72818B39" w14:textId="77777777" w:rsidR="00044AC9" w:rsidRPr="00044AC9" w:rsidRDefault="00044AC9" w:rsidP="00044AC9">
      <w:pPr>
        <w:rPr>
          <w:lang w:val="en-GB"/>
        </w:rPr>
      </w:pPr>
      <w:r w:rsidRPr="00044AC9">
        <w:rPr>
          <w:lang w:val="en-GB"/>
        </w:rPr>
        <w:t>With gratitude,</w:t>
      </w:r>
    </w:p>
    <w:p w14:paraId="6EC6FDEB" w14:textId="77777777" w:rsidR="00044AC9" w:rsidRPr="00044AC9" w:rsidRDefault="00044AC9" w:rsidP="00044AC9">
      <w:pPr>
        <w:rPr>
          <w:lang w:val="en-GB"/>
        </w:rPr>
      </w:pPr>
      <w:r w:rsidRPr="00044AC9">
        <w:rPr>
          <w:lang w:val="en-GB"/>
        </w:rPr>
        <w:t xml:space="preserve">The International Insights team at </w:t>
      </w:r>
      <w:r>
        <w:fldChar w:fldCharType="begin"/>
      </w:r>
      <w:r w:rsidRPr="00E91BE7">
        <w:rPr>
          <w:lang w:val="en-US"/>
        </w:rPr>
        <w:instrText>HYPERLINK "https://www.llokatalysator.nl/"</w:instrText>
      </w:r>
      <w:r>
        <w:fldChar w:fldCharType="separate"/>
      </w:r>
      <w:r w:rsidRPr="00044AC9">
        <w:rPr>
          <w:rStyle w:val="Hyperlink"/>
          <w:lang w:val="en-GB"/>
        </w:rPr>
        <w:t>LLO-</w:t>
      </w:r>
      <w:proofErr w:type="spellStart"/>
      <w:r w:rsidRPr="00044AC9">
        <w:rPr>
          <w:rStyle w:val="Hyperlink"/>
          <w:lang w:val="en-GB"/>
        </w:rPr>
        <w:t>Katalysator</w:t>
      </w:r>
      <w:proofErr w:type="spellEnd"/>
      <w:r>
        <w:fldChar w:fldCharType="end"/>
      </w:r>
      <w:r w:rsidRPr="00044AC9">
        <w:rPr>
          <w:lang w:val="en-GB"/>
        </w:rPr>
        <w:t xml:space="preserve">: Emma Groot </w:t>
      </w:r>
      <w:proofErr w:type="spellStart"/>
      <w:r w:rsidRPr="00044AC9">
        <w:rPr>
          <w:lang w:val="en-GB"/>
        </w:rPr>
        <w:t>Rouwen</w:t>
      </w:r>
      <w:proofErr w:type="spellEnd"/>
      <w:r w:rsidRPr="00044AC9">
        <w:rPr>
          <w:lang w:val="en-GB"/>
        </w:rPr>
        <w:t>, Jo Chaffer and Ronald Kleijn</w:t>
      </w:r>
    </w:p>
    <w:p w14:paraId="63081615" w14:textId="77777777" w:rsidR="00044AC9" w:rsidRPr="00044AC9" w:rsidRDefault="00044AC9" w:rsidP="00044AC9">
      <w:pPr>
        <w:rPr>
          <w:b/>
          <w:bCs/>
          <w:lang w:val="en-GB"/>
        </w:rPr>
      </w:pPr>
      <w:r w:rsidRPr="00044AC9">
        <w:rPr>
          <w:b/>
          <w:bCs/>
          <w:lang w:val="en-GB"/>
        </w:rPr>
        <w:t>Masterclass 2 aims</w:t>
      </w:r>
    </w:p>
    <w:p w14:paraId="48440B41" w14:textId="77777777" w:rsidR="00044AC9" w:rsidRPr="00044AC9" w:rsidRDefault="00044AC9" w:rsidP="00044AC9">
      <w:pPr>
        <w:rPr>
          <w:lang w:val="en-GB"/>
        </w:rPr>
      </w:pPr>
      <w:r w:rsidRPr="00044AC9">
        <w:rPr>
          <w:lang w:val="en-GB"/>
        </w:rPr>
        <w:t>This second event in our Masterclass series aimed to get ‘under the hood’ or, perhaps more appropriately, behind the web pages, to understand the efforts, the expertise and the infrastructure that our guests and their organisations put into developing brilliantly effective relationships. And how those relationships lead to alumni services and lifelong learning services that work for everybody.</w:t>
      </w:r>
    </w:p>
    <w:p w14:paraId="75709E77" w14:textId="6C7E547D" w:rsidR="00044AC9" w:rsidRPr="00044AC9" w:rsidRDefault="00044AC9" w:rsidP="00044AC9">
      <w:pPr>
        <w:rPr>
          <w:lang w:val="en-GB"/>
        </w:rPr>
      </w:pPr>
      <w:r w:rsidRPr="00044AC9">
        <w:rPr>
          <w:lang w:val="en-GB"/>
        </w:rPr>
        <w:t xml:space="preserve">For further background on the topic and information on the panellists, please see the </w:t>
      </w:r>
      <w:r w:rsidR="00CD2D47">
        <w:fldChar w:fldCharType="begin"/>
      </w:r>
      <w:r w:rsidR="00CD2D47" w:rsidRPr="00E91BE7">
        <w:rPr>
          <w:lang w:val="en-US"/>
        </w:rPr>
        <w:instrText>HYPERLINK "https://www.llokatalysator.nl/media/mloan4gz/explainer-masterclass-2-nl-en.pdf"</w:instrText>
      </w:r>
      <w:r w:rsidR="00CD2D47">
        <w:fldChar w:fldCharType="separate"/>
      </w:r>
      <w:r w:rsidR="00CD2D47" w:rsidRPr="00CD2D47">
        <w:rPr>
          <w:rStyle w:val="Hyperlink"/>
          <w:lang w:val="en-GB"/>
        </w:rPr>
        <w:t>Briefing</w:t>
      </w:r>
      <w:r w:rsidRPr="00CD2D47">
        <w:rPr>
          <w:rStyle w:val="Hyperlink"/>
          <w:lang w:val="en-GB"/>
        </w:rPr>
        <w:t xml:space="preserve"> note</w:t>
      </w:r>
      <w:r w:rsidR="00CD2D47" w:rsidRPr="00CD2D47">
        <w:rPr>
          <w:rStyle w:val="Hyperlink"/>
          <w:lang w:val="en-GB"/>
        </w:rPr>
        <w:t>.</w:t>
      </w:r>
      <w:r w:rsidR="00CD2D47">
        <w:fldChar w:fldCharType="end"/>
      </w:r>
    </w:p>
    <w:p w14:paraId="7C7C43F9" w14:textId="77777777" w:rsidR="00044AC9" w:rsidRPr="00044AC9" w:rsidRDefault="00044AC9" w:rsidP="00044AC9">
      <w:pPr>
        <w:pStyle w:val="Kop2"/>
        <w:rPr>
          <w:b/>
          <w:bCs/>
          <w:lang w:val="en-GB"/>
        </w:rPr>
      </w:pPr>
      <w:r w:rsidRPr="00044AC9">
        <w:rPr>
          <w:lang w:val="en-GB"/>
        </w:rPr>
        <w:lastRenderedPageBreak/>
        <w:t>Key Themes Emerging</w:t>
      </w:r>
    </w:p>
    <w:p w14:paraId="46489454" w14:textId="77777777" w:rsidR="00044AC9" w:rsidRPr="00044AC9" w:rsidRDefault="00044AC9" w:rsidP="00044AC9">
      <w:pPr>
        <w:rPr>
          <w:lang w:val="en-GB"/>
        </w:rPr>
      </w:pPr>
      <w:r w:rsidRPr="00044AC9">
        <w:rPr>
          <w:lang w:val="en-GB"/>
        </w:rPr>
        <w:t xml:space="preserve">Firstly, I appreciate the diversity of perspectives not just in the types of universities, or our cultural contexts, but the </w:t>
      </w:r>
      <w:r w:rsidRPr="00044AC9">
        <w:rPr>
          <w:b/>
          <w:bCs/>
          <w:lang w:val="en-GB"/>
        </w:rPr>
        <w:t>diversity of career paths and backgrounds</w:t>
      </w:r>
      <w:r w:rsidRPr="00044AC9">
        <w:rPr>
          <w:lang w:val="en-GB"/>
        </w:rPr>
        <w:t xml:space="preserve"> our panellists draw from: communication professionals, academics, economics, business development, international education and engagement metrics. This exemplifies the diverse skills and capabilities, the cross-cutting nature of the business of building and sustaining effective relationships throughout their lifetime: relationships that enable learners and learning, and that support the universities’ mission.</w:t>
      </w:r>
    </w:p>
    <w:p w14:paraId="696F3181" w14:textId="77777777" w:rsidR="00044AC9" w:rsidRPr="00044AC9" w:rsidRDefault="00044AC9" w:rsidP="00044AC9">
      <w:pPr>
        <w:rPr>
          <w:b/>
          <w:bCs/>
          <w:lang w:val="en-GB"/>
        </w:rPr>
      </w:pPr>
      <w:r w:rsidRPr="00044AC9">
        <w:rPr>
          <w:b/>
          <w:bCs/>
          <w:lang w:val="en-GB"/>
        </w:rPr>
        <w:t>And from the discussions….. what emerged?</w:t>
      </w:r>
    </w:p>
    <w:p w14:paraId="69CB1DA5" w14:textId="77777777" w:rsidR="00044AC9" w:rsidRPr="00044AC9" w:rsidRDefault="00044AC9" w:rsidP="00044AC9">
      <w:pPr>
        <w:rPr>
          <w:lang w:val="en-GB"/>
        </w:rPr>
      </w:pPr>
      <w:r w:rsidRPr="00044AC9">
        <w:rPr>
          <w:b/>
          <w:bCs/>
          <w:lang w:val="en-GB"/>
        </w:rPr>
        <w:t>Mindsets</w:t>
      </w:r>
      <w:r w:rsidRPr="00044AC9">
        <w:rPr>
          <w:lang w:val="en-GB"/>
        </w:rPr>
        <w:t xml:space="preserve">: The question of whether universities view all alumni as lifelong learners drew mixed responses. However, our panellists held similar beliefs that their university should have a </w:t>
      </w:r>
      <w:r w:rsidRPr="00044AC9">
        <w:rPr>
          <w:b/>
          <w:bCs/>
          <w:lang w:val="en-GB"/>
        </w:rPr>
        <w:t>lifelong relationship</w:t>
      </w:r>
      <w:r w:rsidRPr="00044AC9">
        <w:rPr>
          <w:lang w:val="en-GB"/>
        </w:rPr>
        <w:t xml:space="preserve"> with people who had committed to multi-year, intensive under-and post-graduate programs. Lifelong development is inherent to this relationship, for both the university and the alumni – but the relationship is the priority. For some panellists this approach is explicit e.g. Princeton call their programs ‘lifelong degrees’ (not 4-year degrees), being very intentional from the offset about their relational expectations. Other panellists hold this mindset, however they note that this is yet to be centred by their universities’ leadership and Boards. And whilst American universities strategic objectives centre alumni relationships, the related KPIs and the interest of leaders is largely around the philanthropic outcomes of the relationship. There is little strategic focus around the many other outcomes and impacts of successful alumni relations. </w:t>
      </w:r>
      <w:r w:rsidRPr="00044AC9">
        <w:rPr>
          <w:b/>
          <w:bCs/>
          <w:lang w:val="en-GB"/>
        </w:rPr>
        <w:t>More strategic focus</w:t>
      </w:r>
      <w:r w:rsidRPr="00044AC9">
        <w:rPr>
          <w:lang w:val="en-GB"/>
        </w:rPr>
        <w:t xml:space="preserve"> and </w:t>
      </w:r>
      <w:r w:rsidRPr="00044AC9">
        <w:rPr>
          <w:b/>
          <w:bCs/>
          <w:lang w:val="en-GB"/>
        </w:rPr>
        <w:t>more engaged senior leadership</w:t>
      </w:r>
      <w:r w:rsidRPr="00044AC9">
        <w:rPr>
          <w:lang w:val="en-GB"/>
        </w:rPr>
        <w:t xml:space="preserve"> are an essential aspect of success.</w:t>
      </w:r>
    </w:p>
    <w:p w14:paraId="303D1F7B" w14:textId="77777777" w:rsidR="00044AC9" w:rsidRPr="00044AC9" w:rsidRDefault="00044AC9" w:rsidP="00044AC9">
      <w:pPr>
        <w:rPr>
          <w:lang w:val="en-GB"/>
        </w:rPr>
      </w:pPr>
      <w:r w:rsidRPr="00044AC9">
        <w:rPr>
          <w:lang w:val="en-GB"/>
        </w:rPr>
        <w:t xml:space="preserve">The inverted question – are all lifelong learners alumni? – drew a negative. For Princeton, (Lehigh) and Cornell this was a definitive ‘no’, in order to not dilute the ‘alumni’ value proposition or the graduate premium. In the Netherlands the question is unresolved and contested. On reflection and considering the primacy of relationship over label revealed above, this is actually the wrong question. A better question is whether universities, and former learners, consider themselves to be, or wish to </w:t>
      </w:r>
      <w:r w:rsidRPr="00044AC9">
        <w:rPr>
          <w:b/>
          <w:bCs/>
          <w:lang w:val="en-GB"/>
        </w:rPr>
        <w:t>be in relationship</w:t>
      </w:r>
      <w:r w:rsidRPr="00044AC9">
        <w:rPr>
          <w:lang w:val="en-GB"/>
        </w:rPr>
        <w:t xml:space="preserve">. If yes, there are many ways to do this. </w:t>
      </w:r>
      <w:r w:rsidRPr="00044AC9">
        <w:rPr>
          <w:b/>
          <w:bCs/>
          <w:lang w:val="en-GB"/>
        </w:rPr>
        <w:t xml:space="preserve"> </w:t>
      </w:r>
      <w:r w:rsidRPr="00044AC9">
        <w:rPr>
          <w:lang w:val="en-GB"/>
        </w:rPr>
        <w:t xml:space="preserve">There are also many ways of acknowledging the value of these relationships through for example, the labels used. Princeton has a whole range of affiliations people can use to associate themselves with the university; Towson work with ‘friends’ and much of their activity is devoted to ‘friend-raising’ (vs fundraising), awareness raising and engagement. As TU Delft noted, there are scaling challenges: being in relationship with their 4.5million MOOC learners is a very different proposition from being in relationship with their 100,000+ graduates and post-graduates. </w:t>
      </w:r>
    </w:p>
    <w:p w14:paraId="33ED71AC" w14:textId="77777777" w:rsidR="00044AC9" w:rsidRPr="00044AC9" w:rsidRDefault="00044AC9" w:rsidP="00044AC9">
      <w:pPr>
        <w:rPr>
          <w:b/>
          <w:bCs/>
          <w:lang w:val="en-GB"/>
        </w:rPr>
      </w:pPr>
      <w:r w:rsidRPr="00044AC9">
        <w:rPr>
          <w:b/>
          <w:bCs/>
          <w:lang w:val="en-GB"/>
        </w:rPr>
        <w:t>New labels, new roles in relationships</w:t>
      </w:r>
    </w:p>
    <w:p w14:paraId="372EB1F8" w14:textId="77777777" w:rsidR="00044AC9" w:rsidRDefault="00044AC9" w:rsidP="00044AC9">
      <w:r w:rsidRPr="00044AC9">
        <w:rPr>
          <w:lang w:val="en-GB"/>
        </w:rPr>
        <w:lastRenderedPageBreak/>
        <w:t xml:space="preserve">Having labels is very convenient as a quick reference for who we are in the world and with each other, but we can also get stuck inside them. The Masterclass discussions showed up how </w:t>
      </w:r>
      <w:r w:rsidRPr="00044AC9">
        <w:rPr>
          <w:b/>
          <w:bCs/>
          <w:lang w:val="en-GB"/>
        </w:rPr>
        <w:t>label flexibility</w:t>
      </w:r>
      <w:r w:rsidRPr="00044AC9">
        <w:rPr>
          <w:lang w:val="en-GB"/>
        </w:rPr>
        <w:t xml:space="preserve"> can really shift mindsets and behaviours. </w:t>
      </w:r>
      <w:r>
        <w:t>For example:</w:t>
      </w:r>
    </w:p>
    <w:p w14:paraId="156E52CF" w14:textId="77777777" w:rsidR="00044AC9" w:rsidRPr="00044AC9" w:rsidRDefault="00044AC9" w:rsidP="00044AC9">
      <w:pPr>
        <w:pStyle w:val="Lijstalinea"/>
        <w:numPr>
          <w:ilvl w:val="0"/>
          <w:numId w:val="5"/>
        </w:numPr>
        <w:rPr>
          <w:lang w:val="en-GB"/>
        </w:rPr>
      </w:pPr>
      <w:r w:rsidRPr="00044AC9">
        <w:rPr>
          <w:lang w:val="en-GB"/>
        </w:rPr>
        <w:t>From learner or student to professional (fundamentally changing our expectations of authority, of what the other brings)</w:t>
      </w:r>
    </w:p>
    <w:p w14:paraId="446B8F43" w14:textId="77777777" w:rsidR="00044AC9" w:rsidRPr="00044AC9" w:rsidRDefault="00044AC9" w:rsidP="00044AC9">
      <w:pPr>
        <w:pStyle w:val="Lijstalinea"/>
        <w:numPr>
          <w:ilvl w:val="0"/>
          <w:numId w:val="5"/>
        </w:numPr>
        <w:rPr>
          <w:lang w:val="en-GB"/>
        </w:rPr>
      </w:pPr>
      <w:r w:rsidRPr="00044AC9">
        <w:rPr>
          <w:lang w:val="en-GB"/>
        </w:rPr>
        <w:t>From lifelong learning to lifelong development – normal in The Netherlands/ Dutch, but less used in English this flip pushes the expectation to a more grown-up, impactful kind of process</w:t>
      </w:r>
    </w:p>
    <w:p w14:paraId="6D63E2CA" w14:textId="77777777" w:rsidR="00044AC9" w:rsidRDefault="00044AC9" w:rsidP="00044AC9">
      <w:r w:rsidRPr="00044AC9">
        <w:rPr>
          <w:lang w:val="en-GB"/>
        </w:rPr>
        <w:t xml:space="preserve">The discussions around what alumni offices do revealed the many </w:t>
      </w:r>
      <w:r w:rsidRPr="00044AC9">
        <w:rPr>
          <w:b/>
          <w:bCs/>
          <w:lang w:val="en-GB"/>
        </w:rPr>
        <w:t>different roles universities take-on</w:t>
      </w:r>
      <w:r w:rsidRPr="00044AC9">
        <w:rPr>
          <w:lang w:val="en-GB"/>
        </w:rPr>
        <w:t xml:space="preserve"> in their relationship with alumni. </w:t>
      </w:r>
      <w:r>
        <w:t>These include university as -</w:t>
      </w:r>
    </w:p>
    <w:p w14:paraId="2C005D57" w14:textId="77777777" w:rsidR="00044AC9" w:rsidRPr="00044AC9" w:rsidRDefault="00044AC9" w:rsidP="00044AC9">
      <w:pPr>
        <w:pStyle w:val="Lijstalinea"/>
        <w:numPr>
          <w:ilvl w:val="0"/>
          <w:numId w:val="6"/>
        </w:numPr>
        <w:rPr>
          <w:lang w:val="en-GB"/>
        </w:rPr>
      </w:pPr>
      <w:r w:rsidRPr="00044AC9">
        <w:rPr>
          <w:lang w:val="en-GB"/>
        </w:rPr>
        <w:t>Learner – when the university does not have the specialist knowledge or expertise, but alumni, as professionals in the workplace do.  Several universities ask alumni to teach, lecture or create programs.</w:t>
      </w:r>
    </w:p>
    <w:p w14:paraId="2509931F" w14:textId="77777777" w:rsidR="00044AC9" w:rsidRPr="00044AC9" w:rsidRDefault="00044AC9" w:rsidP="00044AC9">
      <w:pPr>
        <w:pStyle w:val="Lijstalinea"/>
        <w:numPr>
          <w:ilvl w:val="0"/>
          <w:numId w:val="6"/>
        </w:numPr>
        <w:rPr>
          <w:lang w:val="en-GB"/>
        </w:rPr>
      </w:pPr>
      <w:r w:rsidRPr="00044AC9">
        <w:rPr>
          <w:lang w:val="en-GB"/>
        </w:rPr>
        <w:t xml:space="preserve">Facilitator – bringing together alumni circles, supporting their establishment and running; brokering new collaborations with other educational providers who do have the specialist know-how that alumni need for professional growth; </w:t>
      </w:r>
    </w:p>
    <w:p w14:paraId="7B5DCECB" w14:textId="77777777" w:rsidR="00044AC9" w:rsidRPr="00044AC9" w:rsidRDefault="00044AC9" w:rsidP="00044AC9">
      <w:pPr>
        <w:pStyle w:val="Lijstalinea"/>
        <w:numPr>
          <w:ilvl w:val="0"/>
          <w:numId w:val="6"/>
        </w:numPr>
        <w:rPr>
          <w:lang w:val="en-GB"/>
        </w:rPr>
      </w:pPr>
      <w:r w:rsidRPr="00044AC9">
        <w:rPr>
          <w:lang w:val="en-GB"/>
        </w:rPr>
        <w:t>Collaborator/ co-producer – with alumni, co-producing new short courses; work-based learning experiences for other learners</w:t>
      </w:r>
    </w:p>
    <w:p w14:paraId="58D34D56" w14:textId="77777777" w:rsidR="00044AC9" w:rsidRPr="00044AC9" w:rsidRDefault="00044AC9" w:rsidP="00044AC9">
      <w:pPr>
        <w:pStyle w:val="Lijstalinea"/>
        <w:numPr>
          <w:ilvl w:val="0"/>
          <w:numId w:val="6"/>
        </w:numPr>
        <w:rPr>
          <w:lang w:val="en-GB"/>
        </w:rPr>
      </w:pPr>
      <w:r w:rsidRPr="00044AC9">
        <w:rPr>
          <w:lang w:val="en-GB"/>
        </w:rPr>
        <w:t>Advisee – of alumni who sit on Advisory Councils providing steer around, for example, faculty, departmental and even institutional direction.</w:t>
      </w:r>
    </w:p>
    <w:p w14:paraId="3D4AC55E" w14:textId="77777777" w:rsidR="00044AC9" w:rsidRPr="00044AC9" w:rsidRDefault="00044AC9" w:rsidP="00044AC9">
      <w:pPr>
        <w:pStyle w:val="Lijstalinea"/>
        <w:numPr>
          <w:ilvl w:val="0"/>
          <w:numId w:val="6"/>
        </w:numPr>
        <w:rPr>
          <w:lang w:val="en-GB"/>
        </w:rPr>
      </w:pPr>
      <w:r w:rsidRPr="00044AC9">
        <w:rPr>
          <w:lang w:val="en-GB"/>
        </w:rPr>
        <w:t>Convener of learning communities: bringing together alumni around thematic practice development areas such as Maastricht’s sustainability group</w:t>
      </w:r>
    </w:p>
    <w:p w14:paraId="78827AEA" w14:textId="77777777" w:rsidR="00044AC9" w:rsidRPr="00044AC9" w:rsidRDefault="00044AC9" w:rsidP="00044AC9">
      <w:pPr>
        <w:pStyle w:val="Lijstalinea"/>
        <w:numPr>
          <w:ilvl w:val="0"/>
          <w:numId w:val="6"/>
        </w:numPr>
        <w:rPr>
          <w:lang w:val="en-GB"/>
        </w:rPr>
      </w:pPr>
      <w:r w:rsidRPr="00044AC9">
        <w:rPr>
          <w:lang w:val="en-GB"/>
        </w:rPr>
        <w:t>Providers of tool kits and frameworks - for alumni to establish new development programs for other alumni.</w:t>
      </w:r>
    </w:p>
    <w:p w14:paraId="40B2660F" w14:textId="77777777" w:rsidR="00044AC9" w:rsidRPr="00044AC9" w:rsidRDefault="00044AC9" w:rsidP="00044AC9">
      <w:pPr>
        <w:rPr>
          <w:lang w:val="en-GB"/>
        </w:rPr>
      </w:pPr>
      <w:r w:rsidRPr="00044AC9">
        <w:rPr>
          <w:lang w:val="en-GB"/>
        </w:rPr>
        <w:t>And there are of course, more familiar roles for universities such as provider of educational programs and of access to new knowledge (research). Panellists noted that different generations of alumni are interested in different types of relationship, they have different demands and needs. Newer generations are more likely to want more career focused and more immediately beneficial development products, as much as they want community and connection.</w:t>
      </w:r>
    </w:p>
    <w:p w14:paraId="17021B74" w14:textId="77777777" w:rsidR="00044AC9" w:rsidRPr="00044AC9" w:rsidRDefault="00044AC9" w:rsidP="00044AC9">
      <w:pPr>
        <w:rPr>
          <w:lang w:val="en-GB"/>
        </w:rPr>
      </w:pPr>
      <w:r w:rsidRPr="00044AC9">
        <w:rPr>
          <w:lang w:val="en-GB"/>
        </w:rPr>
        <w:t xml:space="preserve">Nicola at TU Delft used the </w:t>
      </w:r>
      <w:r w:rsidRPr="00044AC9">
        <w:rPr>
          <w:b/>
          <w:bCs/>
          <w:lang w:val="en-GB"/>
        </w:rPr>
        <w:t xml:space="preserve">metaphors </w:t>
      </w:r>
      <w:r w:rsidRPr="00044AC9">
        <w:rPr>
          <w:lang w:val="en-GB"/>
        </w:rPr>
        <w:t xml:space="preserve">of university as </w:t>
      </w:r>
      <w:r w:rsidRPr="00044AC9">
        <w:rPr>
          <w:i/>
          <w:iCs/>
          <w:lang w:val="en-GB"/>
        </w:rPr>
        <w:t>hunter</w:t>
      </w:r>
      <w:r w:rsidRPr="00044AC9">
        <w:rPr>
          <w:lang w:val="en-GB"/>
        </w:rPr>
        <w:t xml:space="preserve"> seeking to capture alumni and fill them up with knowledge. Delft however seek to be </w:t>
      </w:r>
      <w:r w:rsidRPr="00044AC9">
        <w:rPr>
          <w:i/>
          <w:iCs/>
          <w:lang w:val="en-GB"/>
        </w:rPr>
        <w:t>gardeners</w:t>
      </w:r>
      <w:r w:rsidRPr="00044AC9">
        <w:rPr>
          <w:lang w:val="en-GB"/>
        </w:rPr>
        <w:t xml:space="preserve">, nurturing, providing environments in which people can grow. I might add a third metaphor: one of </w:t>
      </w:r>
      <w:r w:rsidRPr="00044AC9">
        <w:rPr>
          <w:i/>
          <w:iCs/>
          <w:lang w:val="en-GB"/>
        </w:rPr>
        <w:t>tango dancer</w:t>
      </w:r>
      <w:r w:rsidRPr="00044AC9">
        <w:rPr>
          <w:lang w:val="en-GB"/>
        </w:rPr>
        <w:t>, sometimes leading, sometimes following but always moving in tune.</w:t>
      </w:r>
    </w:p>
    <w:p w14:paraId="46E3E7FD" w14:textId="77777777" w:rsidR="00044AC9" w:rsidRPr="00044AC9" w:rsidRDefault="00044AC9" w:rsidP="00044AC9">
      <w:pPr>
        <w:rPr>
          <w:lang w:val="en-GB"/>
        </w:rPr>
      </w:pPr>
      <w:r w:rsidRPr="00044AC9">
        <w:rPr>
          <w:lang w:val="en-GB"/>
        </w:rPr>
        <w:t xml:space="preserve">Fulfilling these roles (and others) requires </w:t>
      </w:r>
      <w:r w:rsidRPr="00044AC9">
        <w:rPr>
          <w:b/>
          <w:bCs/>
          <w:lang w:val="en-GB"/>
        </w:rPr>
        <w:t>new capabilities</w:t>
      </w:r>
      <w:r w:rsidRPr="00044AC9">
        <w:rPr>
          <w:lang w:val="en-GB"/>
        </w:rPr>
        <w:t xml:space="preserve"> (in people and in back-end organization). For example, Jennifer highlighted the tremendous work and skill involved in managing alumni volunteers, whether these are on Deans councils, as guest speakers or whatever. It is essential alumni feel well prepared, have a great experience </w:t>
      </w:r>
      <w:r w:rsidRPr="00044AC9">
        <w:rPr>
          <w:lang w:val="en-GB"/>
        </w:rPr>
        <w:lastRenderedPageBreak/>
        <w:t xml:space="preserve">and their contribution is well recognised. This all takes resource and capability.  If we consider that for many alumni, </w:t>
      </w:r>
      <w:r w:rsidRPr="00044AC9">
        <w:rPr>
          <w:b/>
          <w:bCs/>
          <w:lang w:val="en-GB"/>
        </w:rPr>
        <w:t>their time is a very limited resource</w:t>
      </w:r>
      <w:r w:rsidRPr="00044AC9">
        <w:rPr>
          <w:lang w:val="en-GB"/>
        </w:rPr>
        <w:t>, perhaps more so than their money, then we start to appreciate the skill required to be a successful ‘friend-raiser’.</w:t>
      </w:r>
    </w:p>
    <w:p w14:paraId="3047AD40" w14:textId="77777777" w:rsidR="00044AC9" w:rsidRPr="00044AC9" w:rsidRDefault="00044AC9" w:rsidP="00044AC9">
      <w:pPr>
        <w:rPr>
          <w:lang w:val="en-GB"/>
        </w:rPr>
      </w:pPr>
      <w:r w:rsidRPr="00044AC9">
        <w:rPr>
          <w:lang w:val="en-GB"/>
        </w:rPr>
        <w:t xml:space="preserve">If we want all university people to be ‘business developers’ and ‘doing engagement’ then firstly our university people might also need professional development, and secondly to be </w:t>
      </w:r>
      <w:r w:rsidRPr="00044AC9">
        <w:rPr>
          <w:b/>
          <w:bCs/>
          <w:lang w:val="en-GB"/>
        </w:rPr>
        <w:t>recognised and rewarded for their successes in engagement</w:t>
      </w:r>
      <w:r w:rsidRPr="00044AC9">
        <w:rPr>
          <w:lang w:val="en-GB"/>
        </w:rPr>
        <w:t xml:space="preserve"> (rather than penalised for not producing research papers). </w:t>
      </w:r>
    </w:p>
    <w:p w14:paraId="48CE5002" w14:textId="77777777" w:rsidR="00044AC9" w:rsidRPr="00044AC9" w:rsidRDefault="00044AC9" w:rsidP="00044AC9">
      <w:pPr>
        <w:rPr>
          <w:lang w:val="en-GB"/>
        </w:rPr>
      </w:pPr>
      <w:r w:rsidRPr="00044AC9">
        <w:rPr>
          <w:lang w:val="en-GB"/>
        </w:rPr>
        <w:t xml:space="preserve">These myriads of functions, new relationships and large array of outcomes also require new ways of understanding, capturing and </w:t>
      </w:r>
      <w:r w:rsidRPr="00044AC9">
        <w:rPr>
          <w:b/>
          <w:bCs/>
          <w:lang w:val="en-GB"/>
        </w:rPr>
        <w:t xml:space="preserve">measuring success. </w:t>
      </w:r>
      <w:r w:rsidRPr="00044AC9">
        <w:rPr>
          <w:lang w:val="en-GB"/>
        </w:rPr>
        <w:t xml:space="preserve">Universities need to understand what’s working well and why, in order to stimulate organisational learning, to understand their Return On Investment, and to be able to invest in more and further activities. The alumni-university roles outlined above produce a wide range of </w:t>
      </w:r>
      <w:r w:rsidRPr="00044AC9">
        <w:rPr>
          <w:b/>
          <w:bCs/>
          <w:lang w:val="en-GB"/>
        </w:rPr>
        <w:t>non and in-formal learning and development activities</w:t>
      </w:r>
      <w:r w:rsidRPr="00044AC9">
        <w:rPr>
          <w:lang w:val="en-GB"/>
        </w:rPr>
        <w:t xml:space="preserve">, in fact this accounts for the vast majority of activities American universities alumni services support. As we’ve seen the university may be directly or indirectly involved in delivering these services and outcomes. To capture and understand what’s working requires </w:t>
      </w:r>
      <w:r w:rsidRPr="00044AC9">
        <w:rPr>
          <w:b/>
          <w:bCs/>
          <w:lang w:val="en-GB"/>
        </w:rPr>
        <w:t>a range of metrics</w:t>
      </w:r>
      <w:r w:rsidRPr="00044AC9">
        <w:rPr>
          <w:lang w:val="en-GB"/>
        </w:rPr>
        <w:t>; a spread of ways of gathering and using different types of information. For example, Maastricht are developing KPIs that they will establish across the whole university to identify lifelong development activities and their impacts. The Osher Lifelong Learning Institute use a mix of metrics with a focus on learner stories. These capture the richness and breadth of meaning and impacts the Institute’s activities have on both the learners and in supporting Towson University’s mission and future.  The Institute is about ‘pulling in the community [through lifelong learning] and creating an affinity for the university’.</w:t>
      </w:r>
    </w:p>
    <w:p w14:paraId="2DE03BD0" w14:textId="77777777" w:rsidR="00044AC9" w:rsidRPr="00044AC9" w:rsidRDefault="00044AC9" w:rsidP="00044AC9">
      <w:pPr>
        <w:rPr>
          <w:lang w:val="en-GB"/>
        </w:rPr>
      </w:pPr>
      <w:r w:rsidRPr="00044AC9">
        <w:rPr>
          <w:lang w:val="en-GB"/>
        </w:rPr>
        <w:t xml:space="preserve">Towson have also invested in sophisticated cross-organisational infrastructure including a widely envied database, to help them track, align and produce high-value data for the university and its stakeholders. </w:t>
      </w:r>
      <w:proofErr w:type="spellStart"/>
      <w:r w:rsidRPr="00044AC9">
        <w:rPr>
          <w:lang w:val="en-GB"/>
        </w:rPr>
        <w:t>Daraius</w:t>
      </w:r>
      <w:proofErr w:type="spellEnd"/>
      <w:r w:rsidRPr="00044AC9">
        <w:rPr>
          <w:lang w:val="en-GB"/>
        </w:rPr>
        <w:t xml:space="preserve"> described this function as “</w:t>
      </w:r>
      <w:r w:rsidRPr="00044AC9">
        <w:rPr>
          <w:i/>
          <w:iCs/>
          <w:lang w:val="en-GB"/>
        </w:rPr>
        <w:t>creating an ecosphere that basically says, hey, we're Towson, we're working in the community</w:t>
      </w:r>
      <w:r w:rsidRPr="00044AC9">
        <w:rPr>
          <w:lang w:val="en-GB"/>
        </w:rPr>
        <w:t xml:space="preserve">”. It provides as a means of raising their profile amongst the broader community, including for example, legislators. Towson are able to evidence how they are helping solve particular problems, supporting growth etc in particular legislative districts. This work all builds reputation, stimulates further engagement and </w:t>
      </w:r>
      <w:r w:rsidRPr="00044AC9">
        <w:rPr>
          <w:b/>
          <w:bCs/>
          <w:lang w:val="en-GB"/>
        </w:rPr>
        <w:t>strengthens the social contract.</w:t>
      </w:r>
    </w:p>
    <w:p w14:paraId="0E63614C" w14:textId="77777777" w:rsidR="00044AC9" w:rsidRPr="00044AC9" w:rsidRDefault="00044AC9" w:rsidP="00044AC9">
      <w:pPr>
        <w:rPr>
          <w:i/>
          <w:iCs/>
          <w:lang w:val="en-GB"/>
        </w:rPr>
      </w:pPr>
      <w:r w:rsidRPr="00044AC9">
        <w:rPr>
          <w:lang w:val="en-GB"/>
        </w:rPr>
        <w:t xml:space="preserve">We heard from </w:t>
      </w:r>
      <w:proofErr w:type="spellStart"/>
      <w:r w:rsidRPr="00044AC9">
        <w:rPr>
          <w:lang w:val="en-GB"/>
        </w:rPr>
        <w:t>Bouwien</w:t>
      </w:r>
      <w:proofErr w:type="spellEnd"/>
      <w:r w:rsidRPr="00044AC9">
        <w:rPr>
          <w:lang w:val="en-GB"/>
        </w:rPr>
        <w:t xml:space="preserve"> about the restrictions on using public monies to develop and deliver lifelong development within Dutch public educational organisations. </w:t>
      </w:r>
      <w:r w:rsidRPr="00044AC9">
        <w:rPr>
          <w:i/>
          <w:iCs/>
          <w:lang w:val="en-GB"/>
        </w:rPr>
        <w:t xml:space="preserve">A question then arises, could strong relationships with Dutch alumni direct resources / funds that support innovation in LLO provision? This would act as </w:t>
      </w:r>
      <w:r w:rsidRPr="00044AC9">
        <w:rPr>
          <w:b/>
          <w:bCs/>
          <w:i/>
          <w:iCs/>
          <w:lang w:val="en-GB"/>
        </w:rPr>
        <w:t>a ‘front-loading’ of funding</w:t>
      </w:r>
      <w:r w:rsidRPr="00044AC9">
        <w:rPr>
          <w:i/>
          <w:iCs/>
          <w:lang w:val="en-GB"/>
        </w:rPr>
        <w:t xml:space="preserve"> into the innovation/market-readiness cycle (invest early in design, rather than in the fully developed products).</w:t>
      </w:r>
    </w:p>
    <w:p w14:paraId="15986612" w14:textId="77777777" w:rsidR="00044AC9" w:rsidRPr="00044AC9" w:rsidRDefault="00044AC9" w:rsidP="00044AC9">
      <w:pPr>
        <w:rPr>
          <w:b/>
          <w:bCs/>
          <w:lang w:val="en-GB"/>
        </w:rPr>
      </w:pPr>
      <w:r w:rsidRPr="00044AC9">
        <w:rPr>
          <w:lang w:val="en-GB"/>
        </w:rPr>
        <w:lastRenderedPageBreak/>
        <w:t xml:space="preserve">Our final takeaway comes from Sibilla at TU Delft: an invitation to think </w:t>
      </w:r>
      <w:r w:rsidRPr="00044AC9">
        <w:rPr>
          <w:b/>
          <w:bCs/>
          <w:lang w:val="en-GB"/>
        </w:rPr>
        <w:t>of lifelong development as a process, rather than as a product!</w:t>
      </w:r>
    </w:p>
    <w:p w14:paraId="129082A1" w14:textId="77777777" w:rsidR="00044AC9" w:rsidRPr="00044AC9" w:rsidRDefault="00044AC9" w:rsidP="00044AC9">
      <w:pPr>
        <w:rPr>
          <w:b/>
          <w:bCs/>
          <w:lang w:val="en-GB"/>
        </w:rPr>
      </w:pPr>
    </w:p>
    <w:p w14:paraId="4CF015E8" w14:textId="77777777" w:rsidR="00044AC9" w:rsidRPr="00044AC9" w:rsidRDefault="00044AC9" w:rsidP="00044AC9">
      <w:pPr>
        <w:rPr>
          <w:b/>
          <w:bCs/>
          <w:lang w:val="en-GB"/>
        </w:rPr>
      </w:pPr>
      <w:r w:rsidRPr="00044AC9">
        <w:rPr>
          <w:b/>
          <w:bCs/>
          <w:lang w:val="en-GB"/>
        </w:rPr>
        <w:t>Understanding success</w:t>
      </w:r>
    </w:p>
    <w:p w14:paraId="318540B2" w14:textId="77777777" w:rsidR="00044AC9" w:rsidRPr="00044AC9" w:rsidRDefault="00044AC9" w:rsidP="00044AC9">
      <w:pPr>
        <w:rPr>
          <w:lang w:val="en-GB"/>
        </w:rPr>
      </w:pPr>
      <w:r w:rsidRPr="00044AC9">
        <w:rPr>
          <w:lang w:val="en-GB"/>
        </w:rPr>
        <w:t>In the International Insights team, we have an eight-part framework that we use to understand what is contributing to lifelong development system success. All are important but from the Masterclass, three stand out as key to successful relationships and engagement with our alumni and other communities: mindset and drivers (element 1); centring the learner (or alumni) experience and journey (Element 2); and collaboration and connectedness as a core capability and holistic, long-view endeavour (Element 7).</w:t>
      </w:r>
    </w:p>
    <w:p w14:paraId="600FB737" w14:textId="77777777" w:rsidR="00044AC9" w:rsidRPr="00044AC9" w:rsidRDefault="00044AC9" w:rsidP="00044AC9">
      <w:pPr>
        <w:rPr>
          <w:lang w:val="en-GB"/>
        </w:rPr>
      </w:pPr>
      <w:r w:rsidRPr="00044AC9">
        <w:rPr>
          <w:b/>
          <w:bCs/>
          <w:lang w:val="en-GB"/>
        </w:rPr>
        <w:t>Next steps:</w:t>
      </w:r>
      <w:r w:rsidRPr="00044AC9">
        <w:rPr>
          <w:lang w:val="en-GB"/>
        </w:rPr>
        <w:t xml:space="preserve"> the LLO-</w:t>
      </w:r>
      <w:proofErr w:type="spellStart"/>
      <w:r w:rsidRPr="00044AC9">
        <w:rPr>
          <w:lang w:val="en-GB"/>
        </w:rPr>
        <w:t>Katalysator</w:t>
      </w:r>
      <w:proofErr w:type="spellEnd"/>
      <w:r w:rsidRPr="00044AC9">
        <w:rPr>
          <w:lang w:val="en-GB"/>
        </w:rPr>
        <w:t xml:space="preserve"> team will be bringing some of the key learnings and questions from this Masterclass into a national forum. We want to explore what the opportunities are within the Netherlands tertiary education sector for developing productive and ongoing relationships with alumni and all learners, for prosperous sustainable societies. If you’re interested in being part of this, please contact Jo on </w:t>
      </w:r>
      <w:hyperlink r:id="rId11" w:history="1">
        <w:r w:rsidRPr="00044AC9">
          <w:rPr>
            <w:rStyle w:val="Hyperlink"/>
            <w:lang w:val="en-GB"/>
          </w:rPr>
          <w:t>jo.chaffer@llokatalysator.nl</w:t>
        </w:r>
      </w:hyperlink>
      <w:r w:rsidRPr="00044AC9">
        <w:rPr>
          <w:lang w:val="en-GB"/>
        </w:rPr>
        <w:t xml:space="preserve"> </w:t>
      </w:r>
    </w:p>
    <w:p w14:paraId="55F4AEEB" w14:textId="77777777" w:rsidR="00044AC9" w:rsidRPr="00044AC9" w:rsidRDefault="00044AC9" w:rsidP="00044AC9">
      <w:pPr>
        <w:rPr>
          <w:lang w:val="en-GB"/>
        </w:rPr>
      </w:pPr>
    </w:p>
    <w:p w14:paraId="41C390F1" w14:textId="77777777" w:rsidR="00044AC9" w:rsidRPr="00044AC9" w:rsidRDefault="00044AC9" w:rsidP="00812F18">
      <w:pPr>
        <w:rPr>
          <w:lang w:val="en-GB"/>
        </w:rPr>
      </w:pPr>
    </w:p>
    <w:p w14:paraId="620C0C6E" w14:textId="77777777" w:rsidR="00BA4BC8" w:rsidRPr="00044AC9" w:rsidRDefault="00BA4BC8" w:rsidP="001D4CA4">
      <w:pPr>
        <w:rPr>
          <w:lang w:val="en-GB"/>
        </w:rPr>
      </w:pPr>
    </w:p>
    <w:sectPr w:rsidR="00BA4BC8" w:rsidRPr="00044AC9">
      <w:headerReference w:type="even" r:id="rId12"/>
      <w:head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DB6B" w14:textId="77777777" w:rsidR="003D6932" w:rsidRDefault="003D6932" w:rsidP="00E56A2B">
      <w:pPr>
        <w:spacing w:after="0" w:line="240" w:lineRule="auto"/>
      </w:pPr>
      <w:r>
        <w:separator/>
      </w:r>
    </w:p>
  </w:endnote>
  <w:endnote w:type="continuationSeparator" w:id="0">
    <w:p w14:paraId="0B61F0E5" w14:textId="77777777" w:rsidR="003D6932" w:rsidRDefault="003D6932" w:rsidP="00E56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7247A" w14:textId="77777777" w:rsidR="003D6932" w:rsidRDefault="003D6932" w:rsidP="00E56A2B">
      <w:pPr>
        <w:spacing w:after="0" w:line="240" w:lineRule="auto"/>
      </w:pPr>
      <w:r>
        <w:separator/>
      </w:r>
    </w:p>
  </w:footnote>
  <w:footnote w:type="continuationSeparator" w:id="0">
    <w:p w14:paraId="287B7BCB" w14:textId="77777777" w:rsidR="003D6932" w:rsidRDefault="003D6932" w:rsidP="00E56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24A0" w14:textId="2C7A605F" w:rsidR="002A316C" w:rsidRDefault="002A316C">
    <w:pPr>
      <w:pStyle w:val="Koptekst"/>
    </w:pPr>
    <w:r>
      <w:rPr>
        <w:noProof/>
      </w:rPr>
      <mc:AlternateContent>
        <mc:Choice Requires="wps">
          <w:drawing>
            <wp:anchor distT="0" distB="0" distL="0" distR="0" simplePos="0" relativeHeight="251658241" behindDoc="0" locked="0" layoutInCell="1" allowOverlap="1" wp14:anchorId="6DCFE4AA" wp14:editId="6CC40234">
              <wp:simplePos x="635" y="635"/>
              <wp:positionH relativeFrom="page">
                <wp:align>left</wp:align>
              </wp:positionH>
              <wp:positionV relativeFrom="page">
                <wp:align>top</wp:align>
              </wp:positionV>
              <wp:extent cx="911860" cy="370205"/>
              <wp:effectExtent l="0" t="0" r="2540" b="10795"/>
              <wp:wrapNone/>
              <wp:docPr id="1152198179" name="Tekstvak 2"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70205"/>
                      </a:xfrm>
                      <a:prstGeom prst="rect">
                        <a:avLst/>
                      </a:prstGeom>
                      <a:noFill/>
                      <a:ln>
                        <a:noFill/>
                      </a:ln>
                    </wps:spPr>
                    <wps:txbx>
                      <w:txbxContent>
                        <w:p w14:paraId="2D8D2B3F" w14:textId="1BC0ED06" w:rsidR="002A316C" w:rsidRPr="002A316C" w:rsidRDefault="002A316C" w:rsidP="002A316C">
                          <w:pPr>
                            <w:spacing w:after="0"/>
                            <w:rPr>
                              <w:rFonts w:ascii="Aptos" w:eastAsia="Aptos" w:hAnsi="Aptos" w:cs="Aptos"/>
                              <w:noProof/>
                              <w:color w:val="000000"/>
                              <w:sz w:val="20"/>
                              <w:szCs w:val="20"/>
                            </w:rPr>
                          </w:pPr>
                          <w:r w:rsidRPr="002A316C">
                            <w:rPr>
                              <w:rFonts w:ascii="Aptos" w:eastAsia="Aptos" w:hAnsi="Aptos" w:cs="Aptos"/>
                              <w:noProof/>
                              <w:color w:val="000000"/>
                              <w:sz w:val="2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CFE4AA" id="_x0000_t202" coordsize="21600,21600" o:spt="202" path="m,l,21600r21600,l21600,xe">
              <v:stroke joinstyle="miter"/>
              <v:path gradientshapeok="t" o:connecttype="rect"/>
            </v:shapetype>
            <v:shape id="Tekstvak 2" o:spid="_x0000_s1026" type="#_x0000_t202" alt="TLP: GREEN" style="position:absolute;margin-left:0;margin-top:0;width:71.8pt;height:29.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" filled="f" stroked="f">
              <v:textbox style="mso-fit-shape-to-text:t" inset="20pt,15pt,0,0">
                <w:txbxContent>
                  <w:p w14:paraId="2D8D2B3F" w14:textId="1BC0ED06" w:rsidR="002A316C" w:rsidRPr="002A316C" w:rsidRDefault="002A316C" w:rsidP="002A316C">
                    <w:pPr>
                      <w:spacing w:after="0"/>
                      <w:rPr>
                        <w:rFonts w:ascii="Aptos" w:eastAsia="Aptos" w:hAnsi="Aptos" w:cs="Aptos"/>
                        <w:noProof/>
                        <w:color w:val="000000"/>
                        <w:sz w:val="20"/>
                        <w:szCs w:val="20"/>
                      </w:rPr>
                    </w:pPr>
                    <w:r w:rsidRPr="002A316C">
                      <w:rPr>
                        <w:rFonts w:ascii="Aptos" w:eastAsia="Aptos" w:hAnsi="Aptos" w:cs="Aptos"/>
                        <w:noProof/>
                        <w:color w:val="000000"/>
                        <w:sz w:val="20"/>
                        <w:szCs w:val="20"/>
                      </w:rPr>
                      <w:t>TLP: GREEN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85" w14:textId="1F343182" w:rsidR="002A316C" w:rsidRDefault="002A316C">
    <w:pPr>
      <w:pStyle w:val="Koptekst"/>
      <w:jc w:val="right"/>
    </w:pPr>
    <w:r>
      <w:rPr>
        <w:noProof/>
      </w:rPr>
      <mc:AlternateContent>
        <mc:Choice Requires="wps">
          <w:drawing>
            <wp:anchor distT="0" distB="0" distL="0" distR="0" simplePos="0" relativeHeight="251658242" behindDoc="0" locked="0" layoutInCell="1" allowOverlap="1" wp14:anchorId="305C096A" wp14:editId="26DE03CA">
              <wp:simplePos x="914400" y="453224"/>
              <wp:positionH relativeFrom="page">
                <wp:align>left</wp:align>
              </wp:positionH>
              <wp:positionV relativeFrom="page">
                <wp:align>top</wp:align>
              </wp:positionV>
              <wp:extent cx="911860" cy="370205"/>
              <wp:effectExtent l="0" t="0" r="2540" b="10795"/>
              <wp:wrapNone/>
              <wp:docPr id="1600292906" name="Tekstvak 3"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70205"/>
                      </a:xfrm>
                      <a:prstGeom prst="rect">
                        <a:avLst/>
                      </a:prstGeom>
                      <a:noFill/>
                      <a:ln>
                        <a:noFill/>
                      </a:ln>
                    </wps:spPr>
                    <wps:txbx>
                      <w:txbxContent>
                        <w:p w14:paraId="65871B38" w14:textId="0B2C2D2E" w:rsidR="002A316C" w:rsidRPr="002A316C" w:rsidRDefault="002A316C" w:rsidP="002A316C">
                          <w:pPr>
                            <w:spacing w:after="0"/>
                            <w:rPr>
                              <w:rFonts w:ascii="Aptos" w:eastAsia="Aptos" w:hAnsi="Aptos" w:cs="Aptos"/>
                              <w:noProof/>
                              <w:color w:val="000000"/>
                              <w:sz w:val="20"/>
                              <w:szCs w:val="20"/>
                            </w:rPr>
                          </w:pPr>
                          <w:r w:rsidRPr="002A316C">
                            <w:rPr>
                              <w:rFonts w:ascii="Aptos" w:eastAsia="Aptos" w:hAnsi="Aptos" w:cs="Aptos"/>
                              <w:noProof/>
                              <w:color w:val="000000"/>
                              <w:sz w:val="2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5C096A" id="_x0000_t202" coordsize="21600,21600" o:spt="202" path="m,l,21600r21600,l21600,xe">
              <v:stroke joinstyle="miter"/>
              <v:path gradientshapeok="t" o:connecttype="rect"/>
            </v:shapetype>
            <v:shape id="Tekstvak 3" o:spid="_x0000_s1027" type="#_x0000_t202" alt="TLP: GREEN" style="position:absolute;left:0;text-align:left;margin-left:0;margin-top:0;width:71.8pt;height:29.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" filled="f" stroked="f">
              <v:textbox style="mso-fit-shape-to-text:t" inset="20pt,15pt,0,0">
                <w:txbxContent>
                  <w:p w14:paraId="65871B38" w14:textId="0B2C2D2E" w:rsidR="002A316C" w:rsidRPr="002A316C" w:rsidRDefault="002A316C" w:rsidP="002A316C">
                    <w:pPr>
                      <w:spacing w:after="0"/>
                      <w:rPr>
                        <w:rFonts w:ascii="Aptos" w:eastAsia="Aptos" w:hAnsi="Aptos" w:cs="Aptos"/>
                        <w:noProof/>
                        <w:color w:val="000000"/>
                        <w:sz w:val="20"/>
                        <w:szCs w:val="20"/>
                      </w:rPr>
                    </w:pPr>
                    <w:r w:rsidRPr="002A316C">
                      <w:rPr>
                        <w:rFonts w:ascii="Aptos" w:eastAsia="Aptos" w:hAnsi="Aptos" w:cs="Aptos"/>
                        <w:noProof/>
                        <w:color w:val="000000"/>
                        <w:sz w:val="20"/>
                        <w:szCs w:val="20"/>
                      </w:rPr>
                      <w:t>TLP: GREEN</w:t>
                    </w:r>
                  </w:p>
                </w:txbxContent>
              </v:textbox>
              <w10:wrap anchorx="page" anchory="page"/>
            </v:shape>
          </w:pict>
        </mc:Fallback>
      </mc:AlternateContent>
    </w:r>
    <w:sdt>
      <w:sdtPr>
        <w:id w:val="696982380"/>
        <w:docPartObj>
          <w:docPartGallery w:val="Page Numbers (Top of Page)"/>
          <w:docPartUnique/>
        </w:docPartObj>
      </w:sdtPr>
      <w:sdtContent>
        <w:r>
          <w:fldChar w:fldCharType="begin"/>
        </w:r>
        <w:r>
          <w:instrText>PAGE   \* MERGEFORMAT</w:instrText>
        </w:r>
        <w:r>
          <w:fldChar w:fldCharType="separate"/>
        </w:r>
        <w:r>
          <w:rPr>
            <w:lang w:val="nl-NL"/>
          </w:rPr>
          <w:t>2</w:t>
        </w:r>
        <w:r>
          <w:fldChar w:fldCharType="end"/>
        </w:r>
      </w:sdtContent>
    </w:sdt>
  </w:p>
  <w:p w14:paraId="76ADE583" w14:textId="0D490B4B" w:rsidR="00E56A2B" w:rsidRDefault="00E56A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D9B9" w14:textId="21D3E5E7" w:rsidR="002A316C" w:rsidRDefault="002A316C">
    <w:pPr>
      <w:pStyle w:val="Koptekst"/>
    </w:pPr>
    <w:r>
      <w:rPr>
        <w:noProof/>
      </w:rPr>
      <mc:AlternateContent>
        <mc:Choice Requires="wps">
          <w:drawing>
            <wp:anchor distT="0" distB="0" distL="0" distR="0" simplePos="0" relativeHeight="251658240" behindDoc="0" locked="0" layoutInCell="1" allowOverlap="1" wp14:anchorId="59279978" wp14:editId="375CBB28">
              <wp:simplePos x="635" y="635"/>
              <wp:positionH relativeFrom="page">
                <wp:align>left</wp:align>
              </wp:positionH>
              <wp:positionV relativeFrom="page">
                <wp:align>top</wp:align>
              </wp:positionV>
              <wp:extent cx="911860" cy="370205"/>
              <wp:effectExtent l="0" t="0" r="2540" b="10795"/>
              <wp:wrapNone/>
              <wp:docPr id="912907460" name="Tekstvak 1"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70205"/>
                      </a:xfrm>
                      <a:prstGeom prst="rect">
                        <a:avLst/>
                      </a:prstGeom>
                      <a:noFill/>
                      <a:ln>
                        <a:noFill/>
                      </a:ln>
                    </wps:spPr>
                    <wps:txbx>
                      <w:txbxContent>
                        <w:p w14:paraId="1EE12E07" w14:textId="3FAF83CE" w:rsidR="002A316C" w:rsidRPr="002A316C" w:rsidRDefault="002A316C" w:rsidP="002A316C">
                          <w:pPr>
                            <w:spacing w:after="0"/>
                            <w:rPr>
                              <w:rFonts w:ascii="Aptos" w:eastAsia="Aptos" w:hAnsi="Aptos" w:cs="Aptos"/>
                              <w:noProof/>
                              <w:color w:val="000000"/>
                              <w:sz w:val="20"/>
                              <w:szCs w:val="20"/>
                            </w:rPr>
                          </w:pPr>
                          <w:r w:rsidRPr="002A316C">
                            <w:rPr>
                              <w:rFonts w:ascii="Aptos" w:eastAsia="Aptos" w:hAnsi="Aptos" w:cs="Aptos"/>
                              <w:noProof/>
                              <w:color w:val="000000"/>
                              <w:sz w:val="2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9279978" id="_x0000_t202" coordsize="21600,21600" o:spt="202" path="m,l,21600r21600,l21600,xe">
              <v:stroke joinstyle="miter"/>
              <v:path gradientshapeok="t" o:connecttype="rect"/>
            </v:shapetype>
            <v:shape id="Tekstvak 1" o:spid="_x0000_s1028" type="#_x0000_t202" alt="TLP: GREEN" style="position:absolute;margin-left:0;margin-top:0;width:71.8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" filled="f" stroked="f">
              <v:textbox style="mso-fit-shape-to-text:t" inset="20pt,15pt,0,0">
                <w:txbxContent>
                  <w:p w14:paraId="1EE12E07" w14:textId="3FAF83CE" w:rsidR="002A316C" w:rsidRPr="002A316C" w:rsidRDefault="002A316C" w:rsidP="002A316C">
                    <w:pPr>
                      <w:spacing w:after="0"/>
                      <w:rPr>
                        <w:rFonts w:ascii="Aptos" w:eastAsia="Aptos" w:hAnsi="Aptos" w:cs="Aptos"/>
                        <w:noProof/>
                        <w:color w:val="000000"/>
                        <w:sz w:val="20"/>
                        <w:szCs w:val="20"/>
                      </w:rPr>
                    </w:pPr>
                    <w:r w:rsidRPr="002A316C">
                      <w:rPr>
                        <w:rFonts w:ascii="Aptos" w:eastAsia="Aptos" w:hAnsi="Aptos" w:cs="Aptos"/>
                        <w:noProof/>
                        <w:color w:val="000000"/>
                        <w:sz w:val="20"/>
                        <w:szCs w:val="20"/>
                      </w:rPr>
                      <w:t>TLP: GREEN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F3798"/>
    <w:multiLevelType w:val="hybridMultilevel"/>
    <w:tmpl w:val="F7CE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E27BBE"/>
    <w:multiLevelType w:val="hybridMultilevel"/>
    <w:tmpl w:val="185CE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05420D"/>
    <w:multiLevelType w:val="hybridMultilevel"/>
    <w:tmpl w:val="815AC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147FCB"/>
    <w:multiLevelType w:val="hybridMultilevel"/>
    <w:tmpl w:val="A7B66DE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CA0B02"/>
    <w:multiLevelType w:val="hybridMultilevel"/>
    <w:tmpl w:val="EF74B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CD8DD2"/>
    <w:multiLevelType w:val="hybridMultilevel"/>
    <w:tmpl w:val="FFFFFFFF"/>
    <w:lvl w:ilvl="0" w:tplc="EC089BCC">
      <w:start w:val="1"/>
      <w:numFmt w:val="bullet"/>
      <w:lvlText w:val=""/>
      <w:lvlJc w:val="left"/>
      <w:pPr>
        <w:ind w:left="720" w:hanging="360"/>
      </w:pPr>
      <w:rPr>
        <w:rFonts w:ascii="Symbol" w:hAnsi="Symbol" w:hint="default"/>
      </w:rPr>
    </w:lvl>
    <w:lvl w:ilvl="1" w:tplc="5C6C34DE">
      <w:start w:val="1"/>
      <w:numFmt w:val="bullet"/>
      <w:lvlText w:val="o"/>
      <w:lvlJc w:val="left"/>
      <w:pPr>
        <w:ind w:left="1440" w:hanging="360"/>
      </w:pPr>
      <w:rPr>
        <w:rFonts w:ascii="Courier New" w:hAnsi="Courier New" w:hint="default"/>
      </w:rPr>
    </w:lvl>
    <w:lvl w:ilvl="2" w:tplc="745442DC">
      <w:start w:val="1"/>
      <w:numFmt w:val="bullet"/>
      <w:lvlText w:val=""/>
      <w:lvlJc w:val="left"/>
      <w:pPr>
        <w:ind w:left="2160" w:hanging="360"/>
      </w:pPr>
      <w:rPr>
        <w:rFonts w:ascii="Wingdings" w:hAnsi="Wingdings" w:hint="default"/>
      </w:rPr>
    </w:lvl>
    <w:lvl w:ilvl="3" w:tplc="6672823E">
      <w:start w:val="1"/>
      <w:numFmt w:val="bullet"/>
      <w:lvlText w:val=""/>
      <w:lvlJc w:val="left"/>
      <w:pPr>
        <w:ind w:left="2880" w:hanging="360"/>
      </w:pPr>
      <w:rPr>
        <w:rFonts w:ascii="Symbol" w:hAnsi="Symbol" w:hint="default"/>
      </w:rPr>
    </w:lvl>
    <w:lvl w:ilvl="4" w:tplc="06E287EA">
      <w:start w:val="1"/>
      <w:numFmt w:val="bullet"/>
      <w:lvlText w:val="o"/>
      <w:lvlJc w:val="left"/>
      <w:pPr>
        <w:ind w:left="3600" w:hanging="360"/>
      </w:pPr>
      <w:rPr>
        <w:rFonts w:ascii="Courier New" w:hAnsi="Courier New" w:hint="default"/>
      </w:rPr>
    </w:lvl>
    <w:lvl w:ilvl="5" w:tplc="BA00426C">
      <w:start w:val="1"/>
      <w:numFmt w:val="bullet"/>
      <w:lvlText w:val=""/>
      <w:lvlJc w:val="left"/>
      <w:pPr>
        <w:ind w:left="4320" w:hanging="360"/>
      </w:pPr>
      <w:rPr>
        <w:rFonts w:ascii="Wingdings" w:hAnsi="Wingdings" w:hint="default"/>
      </w:rPr>
    </w:lvl>
    <w:lvl w:ilvl="6" w:tplc="B1D6DF80">
      <w:start w:val="1"/>
      <w:numFmt w:val="bullet"/>
      <w:lvlText w:val=""/>
      <w:lvlJc w:val="left"/>
      <w:pPr>
        <w:ind w:left="5040" w:hanging="360"/>
      </w:pPr>
      <w:rPr>
        <w:rFonts w:ascii="Symbol" w:hAnsi="Symbol" w:hint="default"/>
      </w:rPr>
    </w:lvl>
    <w:lvl w:ilvl="7" w:tplc="E7EE177E">
      <w:start w:val="1"/>
      <w:numFmt w:val="bullet"/>
      <w:lvlText w:val="o"/>
      <w:lvlJc w:val="left"/>
      <w:pPr>
        <w:ind w:left="5760" w:hanging="360"/>
      </w:pPr>
      <w:rPr>
        <w:rFonts w:ascii="Courier New" w:hAnsi="Courier New" w:hint="default"/>
      </w:rPr>
    </w:lvl>
    <w:lvl w:ilvl="8" w:tplc="A908169C">
      <w:start w:val="1"/>
      <w:numFmt w:val="bullet"/>
      <w:lvlText w:val=""/>
      <w:lvlJc w:val="left"/>
      <w:pPr>
        <w:ind w:left="6480" w:hanging="360"/>
      </w:pPr>
      <w:rPr>
        <w:rFonts w:ascii="Wingdings" w:hAnsi="Wingdings" w:hint="default"/>
      </w:rPr>
    </w:lvl>
  </w:abstractNum>
  <w:num w:numId="1" w16cid:durableId="574121603">
    <w:abstractNumId w:val="5"/>
  </w:num>
  <w:num w:numId="2" w16cid:durableId="2009943009">
    <w:abstractNumId w:val="1"/>
  </w:num>
  <w:num w:numId="3" w16cid:durableId="2052613255">
    <w:abstractNumId w:val="2"/>
  </w:num>
  <w:num w:numId="4" w16cid:durableId="1816877164">
    <w:abstractNumId w:val="4"/>
  </w:num>
  <w:num w:numId="5" w16cid:durableId="2033796085">
    <w:abstractNumId w:val="3"/>
  </w:num>
  <w:num w:numId="6" w16cid:durableId="864171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7A"/>
    <w:rsid w:val="00005893"/>
    <w:rsid w:val="00027659"/>
    <w:rsid w:val="00044AC9"/>
    <w:rsid w:val="00051327"/>
    <w:rsid w:val="00172412"/>
    <w:rsid w:val="001A0C59"/>
    <w:rsid w:val="001A6F19"/>
    <w:rsid w:val="001B33A0"/>
    <w:rsid w:val="001D4CA4"/>
    <w:rsid w:val="00226D23"/>
    <w:rsid w:val="002757BB"/>
    <w:rsid w:val="00296466"/>
    <w:rsid w:val="002A146B"/>
    <w:rsid w:val="002A316C"/>
    <w:rsid w:val="0031346B"/>
    <w:rsid w:val="00341234"/>
    <w:rsid w:val="00366A42"/>
    <w:rsid w:val="003825B4"/>
    <w:rsid w:val="003873DF"/>
    <w:rsid w:val="00390EDA"/>
    <w:rsid w:val="003A758F"/>
    <w:rsid w:val="003B579A"/>
    <w:rsid w:val="003D5056"/>
    <w:rsid w:val="003D6932"/>
    <w:rsid w:val="003E86C8"/>
    <w:rsid w:val="004063E3"/>
    <w:rsid w:val="00440246"/>
    <w:rsid w:val="00482A19"/>
    <w:rsid w:val="00490A27"/>
    <w:rsid w:val="004B484F"/>
    <w:rsid w:val="004F57D2"/>
    <w:rsid w:val="00520166"/>
    <w:rsid w:val="005318CC"/>
    <w:rsid w:val="005D1EEF"/>
    <w:rsid w:val="005E5EF3"/>
    <w:rsid w:val="005E618D"/>
    <w:rsid w:val="00610943"/>
    <w:rsid w:val="00632D4E"/>
    <w:rsid w:val="006A6C36"/>
    <w:rsid w:val="00716F19"/>
    <w:rsid w:val="0078281C"/>
    <w:rsid w:val="007918F2"/>
    <w:rsid w:val="00811E37"/>
    <w:rsid w:val="00812F18"/>
    <w:rsid w:val="00814AAC"/>
    <w:rsid w:val="00852BC8"/>
    <w:rsid w:val="00855B4D"/>
    <w:rsid w:val="0086561E"/>
    <w:rsid w:val="009017F8"/>
    <w:rsid w:val="00925DC7"/>
    <w:rsid w:val="00946253"/>
    <w:rsid w:val="009E1E70"/>
    <w:rsid w:val="009F08A9"/>
    <w:rsid w:val="009F7B36"/>
    <w:rsid w:val="00A17BFB"/>
    <w:rsid w:val="00A226EF"/>
    <w:rsid w:val="00A5288D"/>
    <w:rsid w:val="00A67199"/>
    <w:rsid w:val="00AC58F1"/>
    <w:rsid w:val="00AD2268"/>
    <w:rsid w:val="00AE02AE"/>
    <w:rsid w:val="00B041EE"/>
    <w:rsid w:val="00B602AF"/>
    <w:rsid w:val="00B95F29"/>
    <w:rsid w:val="00BA4BC8"/>
    <w:rsid w:val="00BA707A"/>
    <w:rsid w:val="00C00967"/>
    <w:rsid w:val="00C73923"/>
    <w:rsid w:val="00CC566B"/>
    <w:rsid w:val="00CD2D47"/>
    <w:rsid w:val="00CD4A7A"/>
    <w:rsid w:val="00CD61C3"/>
    <w:rsid w:val="00CE5279"/>
    <w:rsid w:val="00D4057A"/>
    <w:rsid w:val="00D60398"/>
    <w:rsid w:val="00D832BB"/>
    <w:rsid w:val="00D96319"/>
    <w:rsid w:val="00DC7D58"/>
    <w:rsid w:val="00DE41FA"/>
    <w:rsid w:val="00DF47CA"/>
    <w:rsid w:val="00DF482F"/>
    <w:rsid w:val="00E02B7A"/>
    <w:rsid w:val="00E068E8"/>
    <w:rsid w:val="00E30CEB"/>
    <w:rsid w:val="00E32156"/>
    <w:rsid w:val="00E56A2B"/>
    <w:rsid w:val="00E7166B"/>
    <w:rsid w:val="00E91BE7"/>
    <w:rsid w:val="00EB48ED"/>
    <w:rsid w:val="00EB4B95"/>
    <w:rsid w:val="00F45E6A"/>
    <w:rsid w:val="00F65028"/>
    <w:rsid w:val="00F85574"/>
    <w:rsid w:val="00FB7F52"/>
    <w:rsid w:val="00FD19E7"/>
    <w:rsid w:val="00FF3925"/>
    <w:rsid w:val="01A23CF7"/>
    <w:rsid w:val="07D488CB"/>
    <w:rsid w:val="08ED7438"/>
    <w:rsid w:val="0C22A100"/>
    <w:rsid w:val="0EA76768"/>
    <w:rsid w:val="103674AF"/>
    <w:rsid w:val="125A618E"/>
    <w:rsid w:val="1491308A"/>
    <w:rsid w:val="162E1B95"/>
    <w:rsid w:val="1EF68D5D"/>
    <w:rsid w:val="2CCA311F"/>
    <w:rsid w:val="2F8F767B"/>
    <w:rsid w:val="2FE7C8FE"/>
    <w:rsid w:val="31F65781"/>
    <w:rsid w:val="32D99E6C"/>
    <w:rsid w:val="398F13C3"/>
    <w:rsid w:val="3A786581"/>
    <w:rsid w:val="3E3474C5"/>
    <w:rsid w:val="4158153C"/>
    <w:rsid w:val="43235B26"/>
    <w:rsid w:val="434D5CE6"/>
    <w:rsid w:val="44278B41"/>
    <w:rsid w:val="44F818AB"/>
    <w:rsid w:val="46755D50"/>
    <w:rsid w:val="516461EF"/>
    <w:rsid w:val="527495D7"/>
    <w:rsid w:val="52B0EF1E"/>
    <w:rsid w:val="52E389B3"/>
    <w:rsid w:val="5DE4442B"/>
    <w:rsid w:val="61A45598"/>
    <w:rsid w:val="628CDCD0"/>
    <w:rsid w:val="6429B543"/>
    <w:rsid w:val="6CEE6E9A"/>
    <w:rsid w:val="6E2FFA9A"/>
    <w:rsid w:val="7254CA8E"/>
    <w:rsid w:val="7393E6A8"/>
    <w:rsid w:val="73EC9893"/>
    <w:rsid w:val="747ADEBE"/>
    <w:rsid w:val="74F5604F"/>
    <w:rsid w:val="782A38C3"/>
    <w:rsid w:val="79D593D2"/>
    <w:rsid w:val="79ED7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6D72E"/>
  <w15:chartTrackingRefBased/>
  <w15:docId w15:val="{097745AA-58B7-4451-BFD2-3FAEA3E9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7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A7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A707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A707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A707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A70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70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70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70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707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A707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A707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A707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A707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A70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70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70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707A"/>
    <w:rPr>
      <w:rFonts w:eastAsiaTheme="majorEastAsia" w:cstheme="majorBidi"/>
      <w:color w:val="272727" w:themeColor="text1" w:themeTint="D8"/>
    </w:rPr>
  </w:style>
  <w:style w:type="paragraph" w:styleId="Titel">
    <w:name w:val="Title"/>
    <w:basedOn w:val="Standaard"/>
    <w:next w:val="Standaard"/>
    <w:link w:val="TitelChar"/>
    <w:uiPriority w:val="10"/>
    <w:qFormat/>
    <w:rsid w:val="00BA7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70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70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70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70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707A"/>
    <w:rPr>
      <w:i/>
      <w:iCs/>
      <w:color w:val="404040" w:themeColor="text1" w:themeTint="BF"/>
    </w:rPr>
  </w:style>
  <w:style w:type="paragraph" w:styleId="Lijstalinea">
    <w:name w:val="List Paragraph"/>
    <w:basedOn w:val="Standaard"/>
    <w:uiPriority w:val="34"/>
    <w:qFormat/>
    <w:rsid w:val="00BA707A"/>
    <w:pPr>
      <w:ind w:left="720"/>
      <w:contextualSpacing/>
    </w:pPr>
  </w:style>
  <w:style w:type="character" w:styleId="Intensievebenadrukking">
    <w:name w:val="Intense Emphasis"/>
    <w:basedOn w:val="Standaardalinea-lettertype"/>
    <w:uiPriority w:val="21"/>
    <w:qFormat/>
    <w:rsid w:val="00BA707A"/>
    <w:rPr>
      <w:i/>
      <w:iCs/>
      <w:color w:val="0F4761" w:themeColor="accent1" w:themeShade="BF"/>
    </w:rPr>
  </w:style>
  <w:style w:type="paragraph" w:styleId="Duidelijkcitaat">
    <w:name w:val="Intense Quote"/>
    <w:basedOn w:val="Standaard"/>
    <w:next w:val="Standaard"/>
    <w:link w:val="DuidelijkcitaatChar"/>
    <w:uiPriority w:val="30"/>
    <w:qFormat/>
    <w:rsid w:val="00BA7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A707A"/>
    <w:rPr>
      <w:i/>
      <w:iCs/>
      <w:color w:val="0F4761" w:themeColor="accent1" w:themeShade="BF"/>
    </w:rPr>
  </w:style>
  <w:style w:type="character" w:styleId="Intensieveverwijzing">
    <w:name w:val="Intense Reference"/>
    <w:basedOn w:val="Standaardalinea-lettertype"/>
    <w:uiPriority w:val="32"/>
    <w:qFormat/>
    <w:rsid w:val="00BA707A"/>
    <w:rPr>
      <w:b/>
      <w:bCs/>
      <w:smallCaps/>
      <w:color w:val="0F4761" w:themeColor="accent1" w:themeShade="BF"/>
      <w:spacing w:val="5"/>
    </w:rPr>
  </w:style>
  <w:style w:type="character" w:styleId="Hyperlink">
    <w:name w:val="Hyperlink"/>
    <w:basedOn w:val="Standaardalinea-lettertype"/>
    <w:uiPriority w:val="99"/>
    <w:unhideWhenUsed/>
    <w:rsid w:val="00CD4A7A"/>
    <w:rPr>
      <w:color w:val="467886" w:themeColor="hyperlink"/>
      <w:u w:val="single"/>
    </w:rPr>
  </w:style>
  <w:style w:type="character" w:styleId="Onopgelostemelding">
    <w:name w:val="Unresolved Mention"/>
    <w:basedOn w:val="Standaardalinea-lettertype"/>
    <w:uiPriority w:val="99"/>
    <w:semiHidden/>
    <w:unhideWhenUsed/>
    <w:rsid w:val="00E56A2B"/>
    <w:rPr>
      <w:color w:val="605E5C"/>
      <w:shd w:val="clear" w:color="auto" w:fill="E1DFDD"/>
    </w:rPr>
  </w:style>
  <w:style w:type="paragraph" w:styleId="Koptekst">
    <w:name w:val="header"/>
    <w:basedOn w:val="Standaard"/>
    <w:link w:val="KoptekstChar"/>
    <w:uiPriority w:val="99"/>
    <w:unhideWhenUsed/>
    <w:rsid w:val="00E56A2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56A2B"/>
  </w:style>
  <w:style w:type="paragraph" w:styleId="Voettekst">
    <w:name w:val="footer"/>
    <w:basedOn w:val="Standaard"/>
    <w:link w:val="VoettekstChar"/>
    <w:uiPriority w:val="99"/>
    <w:unhideWhenUsed/>
    <w:rsid w:val="00E56A2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56A2B"/>
  </w:style>
  <w:style w:type="character" w:styleId="GevolgdeHyperlink">
    <w:name w:val="FollowedHyperlink"/>
    <w:basedOn w:val="Standaardalinea-lettertype"/>
    <w:uiPriority w:val="99"/>
    <w:semiHidden/>
    <w:unhideWhenUsed/>
    <w:rsid w:val="00044AC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lokatalysator.n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youtube.com/watch?v=C5m1V2P5vV0"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chaffer@llokatalysator.n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o.chaffer@llokatalysator.nl" TargetMode="External"/><Relationship Id="rId4" Type="http://schemas.openxmlformats.org/officeDocument/2006/relationships/webSettings" Target="webSettings.xml"/><Relationship Id="rId9" Type="http://schemas.openxmlformats.org/officeDocument/2006/relationships/hyperlink" Target="https://www.llokatalysator.nl/media/mloan4gz/explainer-masterclass-2-nl-en.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c0a5b0b-6004-4e2e-bebe-8919e824c3c6}" enabled="1" method="Standard" siteId="{21429da9-e4ad-45f9-9a6f-cd126a64274b}"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3714</Words>
  <Characters>20429</Characters>
  <Application>Microsoft Office Word</Application>
  <DocSecurity>0</DocSecurity>
  <Lines>170</Lines>
  <Paragraphs>48</Paragraphs>
  <ScaleCrop>false</ScaleCrop>
  <Company/>
  <LinksUpToDate>false</LinksUpToDate>
  <CharactersWithSpaces>24095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Chaffer</dc:creator>
  <cp:keywords/>
  <dc:description/>
  <cp:lastModifiedBy>Gwen Spilker</cp:lastModifiedBy>
  <cp:revision>3</cp:revision>
  <dcterms:created xsi:type="dcterms:W3CDTF">2026-03-24T13:48:00Z</dcterms:created>
  <dcterms:modified xsi:type="dcterms:W3CDTF">2026-03-24T13:49:00Z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3669dcc4,44ad2623,5f62882a</vt:lpwstr>
  </property>
  <property fmtid="{D5CDD505-2E9C-101B-9397-08002B2CF9AE}" pid="3" name="ClassificationContentMarkingHeaderFontProps">
    <vt:lpwstr>#000000,10,Aptos</vt:lpwstr>
  </property>
  <property fmtid="{D5CDD505-2E9C-101B-9397-08002B2CF9AE}" pid="4" name="ClassificationContentMarkingHeaderText">
    <vt:lpwstr>TLP: GREEN</vt:lpwstr>
  </property>
</Properties>
</file>